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نموذج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المقرر</w:t>
      </w:r>
      <w:r w:rsidDel="00000000" w:rsidR="00000000" w:rsidRPr="00000000">
        <w:rPr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البرنامج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الاكاديمي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وصف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المقرر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-34505</wp:posOffset>
                </wp:positionH>
                <wp:positionV relativeFrom="paragraph">
                  <wp:posOffset>373356</wp:posOffset>
                </wp:positionV>
                <wp:extent cx="5969480" cy="1828800"/>
                <wp:effectExtent b="19050" l="0" r="1270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4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Del="00000000" w:rsidP="00BA4F52" w:rsidRDefault="00BA4F52" w:rsidRPr="00664D3E">
                            <w:pPr>
                              <w:bidi w:val="1"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نعمل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على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زيادة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معرفة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الطلبة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بالنظم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المحاسبية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في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البيئية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العراقية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وإجراءات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تدقيق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عناصر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القوائم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المالية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و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توسيع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معرفة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الطلاب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في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المعايير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الدولية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التي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تناولتها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وحالات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عملية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في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تقويم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الرقابة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الداخلية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والتطرق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إلى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معايير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التدقيق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الدولية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حسب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المنهاج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الدراسي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المعتمد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وإعطاء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تطبيقات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عملية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وتشجيع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الطلاب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على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عرض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حالات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من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الواقع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العملي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لزيادة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معرفتهم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بإجراءات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تدقيق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النظم</w:t>
                            </w:r>
                            <w:r w:rsidDel="00000000" w:rsidR="00000000" w:rsidRPr="00B8099E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000000" w:rsidRPr="00B8099E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المتخصصة</w:t>
                            </w:r>
                            <w:r w:rsidDel="00000000" w:rsidR="00000000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664D3E" w:rsidRPr="00A51A3D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تدقيق</w:t>
                            </w:r>
                            <w:r w:rsidDel="00000000" w:rsidR="00664D3E" w:rsidRPr="00A51A3D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664D3E" w:rsidRPr="00A51A3D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النظم</w:t>
                            </w:r>
                            <w:r w:rsidDel="00000000" w:rsidR="00664D3E" w:rsidRPr="00A51A3D">
                              <w:rPr>
                                <w:rFonts w:cs="Arial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 xml:space="preserve"> </w:t>
                            </w:r>
                            <w:r w:rsidDel="00000000" w:rsidR="00664D3E" w:rsidRPr="00A51A3D">
                              <w:rPr>
                                <w:rFonts w:cs="Arial" w:hint="cs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المتخصصة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-34505</wp:posOffset>
                </wp:positionH>
                <wp:positionV relativeFrom="paragraph">
                  <wp:posOffset>373356</wp:posOffset>
                </wp:positionV>
                <wp:extent cx="5982180" cy="18478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2180" cy="184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83"/>
        <w:bidiVisual w:val="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5513"/>
        <w:tblGridChange w:id="0">
          <w:tblGrid>
            <w:gridCol w:w="3503"/>
            <w:gridCol w:w="5513"/>
          </w:tblGrid>
        </w:tblGridChange>
      </w:tblGrid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الادارة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والاقتصاد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العلمي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المركز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المحاسبة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رمز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الدولية</w:t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اشكال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الدراسة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الحضورية</w:t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السنة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الاول</w:t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ثلاث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بالاسبوع</w:t>
            </w:r>
          </w:p>
        </w:tc>
      </w:tr>
      <w:tr>
        <w:trPr>
          <w:cantSplit w:val="0"/>
          <w:trHeight w:val="462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اعداد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1/1/2024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اهداف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43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bidi w:val="1"/>
              <w:ind w:left="360" w:firstLine="0"/>
              <w:jc w:val="both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بيان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اهمية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العمليات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المحاسبية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للوقوف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الاخطاء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وعدم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تطبيق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التعليمات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وقياس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الاداء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الداخلي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للوحدات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داخل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المنظمات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9-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وطرائق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92" w:right="0" w:hanging="36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والفهم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نعمل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زيادة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الطلبة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بالنظم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المحاسبية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البيئية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العراقية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وإجراءات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تدقيق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القوائم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المالية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توسيع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المعايير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الدولية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تناولتها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وحالات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الرقابة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الداخلية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والتطرق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معايير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التدقيق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الدولية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حسب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المنهاج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وإعطاء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تطبيقات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عملية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وتشجيع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الطلاب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حالات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الواقع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العملي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لزيادة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معرفتهم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بإجراءات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تدقيق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النظم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المتخصصة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92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ind w:left="360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بالموضوع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تسليط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الضوء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الحالات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العملية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واقع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البيئة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المحاسبية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27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ind w:left="360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التفكير</w:t>
            </w:r>
          </w:p>
          <w:p w:rsidR="00000000" w:rsidDel="00000000" w:rsidP="00000000" w:rsidRDefault="00000000" w:rsidRPr="00000000" w14:paraId="0000002B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الطريقة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بالأستناد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المنطق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ترتيب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وتبويب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الأفكار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بناءا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نماذج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معايير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محددة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مقدما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2D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الطريقة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المباشرة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التفكير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بالأستناد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البحث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مفاتيح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لحلول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المشكلة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مجموعة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المتوافرة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ind w:left="612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612"/>
              </w:tabs>
              <w:bidi w:val="1"/>
              <w:ind w:left="360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والتعلم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612"/>
              </w:tabs>
              <w:bidi w:val="1"/>
              <w:ind w:left="360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ind w:left="360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93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300"/>
              <w:tblGridChange w:id="0">
                <w:tblGrid>
                  <w:gridCol w:w="9300"/>
                </w:tblGrid>
              </w:tblGridChange>
            </w:tblGrid>
            <w:tr>
              <w:trPr>
                <w:cantSplit w:val="0"/>
                <w:trHeight w:val="100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bidi w:val="1"/>
                    <w:ind w:left="360" w:firstLine="0"/>
                    <w:rPr>
                      <w:rFonts w:ascii="Cambria" w:cs="Cambria" w:eastAsia="Cambria" w:hAnsi="Cambria"/>
                      <w:b w:val="1"/>
                      <w:color w:val="0000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8"/>
                      <w:szCs w:val="28"/>
                      <w:rtl w:val="1"/>
                    </w:rPr>
                    <w:t xml:space="preserve">المحاضرات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8"/>
                      <w:szCs w:val="28"/>
                      <w:rtl w:val="1"/>
                    </w:rPr>
                    <w:t xml:space="preserve">والمناقشات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8"/>
                      <w:szCs w:val="28"/>
                      <w:rtl w:val="1"/>
                    </w:rPr>
                    <w:t xml:space="preserve">الجماعية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ind w:left="360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طرائق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التقييم</w:t>
            </w: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64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التحريرية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الأختبارات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الشفوية</w:t>
            </w:r>
          </w:p>
          <w:p w:rsidR="00000000" w:rsidDel="00000000" w:rsidP="00000000" w:rsidRDefault="00000000" w:rsidRPr="00000000" w14:paraId="00000039">
            <w:pPr>
              <w:bidi w:val="1"/>
              <w:ind w:left="1080" w:firstLine="0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ind w:left="108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ind w:left="108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ind w:left="108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ind w:left="108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دد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-233679</wp:posOffset>
                </wp:positionV>
                <wp:extent cx="5857875" cy="1807210"/>
                <wp:effectExtent b="2540" l="0" r="952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3E0" w:rsidDel="00000000" w:rsidP="008273E0" w:rsidRDefault="008273E0" w:rsidRPr="00000000">
                            <w:pPr>
                              <w:jc w:val="right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</w:pPr>
                            <w:r w:rsidDel="00000000" w:rsidR="00000000" w:rsidRPr="00125874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CC16C3" w:rsidDel="00000000" w:rsidP="00CC16C3" w:rsidRDefault="00CC16C3" w:rsidRPr="00D67A42">
                            <w:pPr>
                              <w:jc w:val="right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lang w:bidi="ar-IQ" w:val="en-US"/>
                              </w:rPr>
                            </w:pPr>
                            <w:r w:rsidDel="00000000" w:rsidR="00000000" w:rsidRPr="00D67A42"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>د</w:t>
                            </w:r>
                            <w:r w:rsidDel="00000000" w:rsidR="00000000" w:rsidRPr="00D67A42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>-</w:t>
                            </w:r>
                            <w:r w:rsidDel="00000000" w:rsidR="00000000" w:rsidRPr="00D67A42"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>1</w:t>
                            </w:r>
                            <w:r w:rsidDel="00000000" w:rsidR="00000000" w:rsidRPr="00D67A42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 xml:space="preserve"> المعرفة المنقولة من</w:t>
                            </w: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 xml:space="preserve"> الخبرة العملية</w:t>
                            </w:r>
                            <w:r w:rsidDel="00000000" w:rsidR="00000000" w:rsidRPr="00D67A42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 xml:space="preserve"> </w:t>
                            </w:r>
                          </w:p>
                          <w:p w:rsidR="00CC16C3" w:rsidDel="00000000" w:rsidP="00A51A3D" w:rsidRDefault="00CC16C3" w:rsidRPr="00CC16C3">
                            <w:pPr>
                              <w:jc w:val="right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lang w:bidi="ar-IQ" w:val="en-US"/>
                              </w:rPr>
                            </w:pPr>
                            <w:r w:rsidDel="00000000" w:rsidR="00000000" w:rsidRPr="00D67A42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 xml:space="preserve">د2- المعرفة ذات الصلة بالمعايير </w:t>
                            </w: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lang w:bidi="ar-IQ" w:val="en-US"/>
                              </w:rPr>
                              <w:t>بالتدقيق</w:t>
                            </w:r>
                          </w:p>
                          <w:p w:rsidR="008273E0" w:rsidDel="00000000" w:rsidP="00B71CFF" w:rsidRDefault="008273E0" w:rsidRPr="0000000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Del="00000000" w:rsidP="00B71CFF" w:rsidRDefault="00125874" w:rsidRPr="0000000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Del="00000000" w:rsidP="00B71CFF" w:rsidRDefault="00125874" w:rsidRPr="0000000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Del="00000000" w:rsidP="00B71CFF" w:rsidRDefault="00125874" w:rsidRPr="0000000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Del="00000000" w:rsidP="00B71CFF" w:rsidRDefault="00125874" w:rsidRPr="0000000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Del="00000000" w:rsidP="00B71CFF" w:rsidRDefault="00125874" w:rsidRPr="0000000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Del="00000000" w:rsidP="00B71CFF" w:rsidRDefault="00125874" w:rsidRPr="00000000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125874" w:rsidDel="00000000" w:rsidP="00B71CFF" w:rsidRDefault="00125874" w:rsidRPr="00125874">
                            <w:pPr>
                              <w:jc w:val="center"/>
                              <w:rPr>
                                <w:lang w:bidi="ar-IQ" w:val="en-US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</wp:posOffset>
                </wp:positionH>
                <wp:positionV relativeFrom="paragraph">
                  <wp:posOffset>-233679</wp:posOffset>
                </wp:positionV>
                <wp:extent cx="5867400" cy="1809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180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7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8"/>
        <w:gridCol w:w="978"/>
        <w:gridCol w:w="2748"/>
        <w:gridCol w:w="2062"/>
        <w:gridCol w:w="1360"/>
        <w:gridCol w:w="1615"/>
        <w:tblGridChange w:id="0">
          <w:tblGrid>
            <w:gridCol w:w="938"/>
            <w:gridCol w:w="978"/>
            <w:gridCol w:w="2748"/>
            <w:gridCol w:w="2062"/>
            <w:gridCol w:w="1360"/>
            <w:gridCol w:w="1615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10-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المقرر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الاسبوع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الساعات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المطلوبة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الموضوع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التعليم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التقييم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الرقابة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الداخلية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الرقابة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الداخلية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</w:p>
          <w:p w:rsidR="00000000" w:rsidDel="00000000" w:rsidP="00000000" w:rsidRDefault="00000000" w:rsidRPr="00000000" w14:paraId="00000063">
            <w:pPr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الميزانية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العمومية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والمصروفات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والإيرادات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الميزانية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العمومية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والمصروفات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والإيرادات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Cambria" w:cs="Cambria" w:eastAsia="Cambria" w:hAnsi="Cambria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42"/>
              </w:tabs>
              <w:jc w:val="center"/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200 – 210 –220 –230 --240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200 – 210 –220 –230 --240</w:t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250 – 260 -- 300 – 315 –320  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250 – 260 -- 300 – 315 –320  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330 – 402 – 450 – 500 – 501</w:t>
            </w:r>
          </w:p>
        </w:tc>
        <w:tc>
          <w:tcPr/>
          <w:p w:rsidR="00000000" w:rsidDel="00000000" w:rsidP="00000000" w:rsidRDefault="00000000" w:rsidRPr="00000000" w14:paraId="0000008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330 – 402 – 450 – 500 – 501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505 --  510 – 520 – 530 – 540</w:t>
            </w:r>
          </w:p>
        </w:tc>
        <w:tc>
          <w:tcPr/>
          <w:p w:rsidR="00000000" w:rsidDel="00000000" w:rsidP="00000000" w:rsidRDefault="00000000" w:rsidRPr="00000000" w14:paraId="00000089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505 --  510 – 520 – 530 – 540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550 – 560 – 570 – 580 --600</w:t>
            </w:r>
          </w:p>
        </w:tc>
        <w:tc>
          <w:tcPr/>
          <w:p w:rsidR="00000000" w:rsidDel="00000000" w:rsidP="00000000" w:rsidRDefault="00000000" w:rsidRPr="00000000" w14:paraId="0000008F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550 – 560 – 570 – 580 --600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610 – 620 – 700 – 701 – 705 – 710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610 – 620 – 700 – 701 – 705 – 710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720 – 800 – 805 – 810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720 – 800 – 805 – 810</w:t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للمارسة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الداخلي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للمارسة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الداخلي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للمارسة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الداخلي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المعايير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للمارسة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للتدقيق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الداخلي</w:t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بالمادة</w:t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امتحان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بالمادة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محاضرات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4"/>
                <w:szCs w:val="24"/>
                <w:rtl w:val="1"/>
              </w:rPr>
              <w:t xml:space="preserve">امتحانات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2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9"/>
        <w:gridCol w:w="5369"/>
        <w:tblGridChange w:id="0">
          <w:tblGrid>
            <w:gridCol w:w="3889"/>
            <w:gridCol w:w="5369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البنية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التحتية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2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الرئيسية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معايير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التدقيق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والمعايير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الدولية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للمارسة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للتدقيق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الداخلي</w:t>
            </w:r>
          </w:p>
        </w:tc>
      </w:tr>
      <w:tr>
        <w:trPr>
          <w:cantSplit w:val="0"/>
          <w:trHeight w:val="653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والمراجع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يوصي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المجلات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،......)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المراجع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الالكترونية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الانترنيت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.....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bidi w:val="1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line="360" w:lineRule="auto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rtl w:val="1"/>
        </w:rPr>
        <w:t xml:space="preserve">نادية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شاكر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حسين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                           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حميد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الله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1"/>
      </w:rPr>
      <w:t xml:space="preserve">الصفحة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6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3228975</wp:posOffset>
              </wp:positionH>
              <wp:positionV relativeFrom="paragraph">
                <wp:posOffset>110592</wp:posOffset>
              </wp:positionV>
              <wp:extent cx="2638425" cy="12700"/>
              <wp:effectExtent b="0" l="0" r="9525" t="0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3228975</wp:posOffset>
              </wp:positionH>
              <wp:positionV relativeFrom="paragraph">
                <wp:posOffset>110592</wp:posOffset>
              </wp:positionV>
              <wp:extent cx="2647950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110592</wp:posOffset>
              </wp:positionV>
              <wp:extent cx="2638425" cy="12700"/>
              <wp:effectExtent b="0" l="0" r="9525" t="0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110592</wp:posOffset>
              </wp:positionV>
              <wp:extent cx="264795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79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92" w:hanging="360"/>
      </w:pPr>
      <w:rPr/>
    </w:lvl>
    <w:lvl w:ilvl="1">
      <w:start w:val="1"/>
      <w:numFmt w:val="lowerLetter"/>
      <w:lvlText w:val="%2."/>
      <w:lvlJc w:val="left"/>
      <w:pPr>
        <w:ind w:left="1512" w:hanging="360"/>
      </w:pPr>
      <w:rPr/>
    </w:lvl>
    <w:lvl w:ilvl="2">
      <w:start w:val="1"/>
      <w:numFmt w:val="lowerRoman"/>
      <w:lvlText w:val="%3."/>
      <w:lvlJc w:val="right"/>
      <w:pPr>
        <w:ind w:left="2232" w:hanging="180"/>
      </w:pPr>
      <w:rPr/>
    </w:lvl>
    <w:lvl w:ilvl="3">
      <w:start w:val="1"/>
      <w:numFmt w:val="decimal"/>
      <w:lvlText w:val="%4."/>
      <w:lvlJc w:val="left"/>
      <w:pPr>
        <w:ind w:left="2952" w:hanging="360"/>
      </w:pPr>
      <w:rPr/>
    </w:lvl>
    <w:lvl w:ilvl="4">
      <w:start w:val="1"/>
      <w:numFmt w:val="lowerLetter"/>
      <w:lvlText w:val="%5."/>
      <w:lvlJc w:val="left"/>
      <w:pPr>
        <w:ind w:left="3672" w:hanging="360"/>
      </w:pPr>
      <w:rPr/>
    </w:lvl>
    <w:lvl w:ilvl="5">
      <w:start w:val="1"/>
      <w:numFmt w:val="lowerRoman"/>
      <w:lvlText w:val="%6."/>
      <w:lvlJc w:val="right"/>
      <w:pPr>
        <w:ind w:left="4392" w:hanging="180"/>
      </w:pPr>
      <w:rPr/>
    </w:lvl>
    <w:lvl w:ilvl="6">
      <w:start w:val="1"/>
      <w:numFmt w:val="decimal"/>
      <w:lvlText w:val="%7."/>
      <w:lvlJc w:val="left"/>
      <w:pPr>
        <w:ind w:left="5112" w:hanging="360"/>
      </w:pPr>
      <w:rPr/>
    </w:lvl>
    <w:lvl w:ilvl="7">
      <w:start w:val="1"/>
      <w:numFmt w:val="lowerLetter"/>
      <w:lvlText w:val="%8."/>
      <w:lvlJc w:val="left"/>
      <w:pPr>
        <w:ind w:left="5832" w:hanging="360"/>
      </w:pPr>
      <w:rPr/>
    </w:lvl>
    <w:lvl w:ilvl="8">
      <w:start w:val="1"/>
      <w:numFmt w:val="lowerRoman"/>
      <w:lvlText w:val="%9."/>
      <w:lvlJc w:val="right"/>
      <w:pPr>
        <w:ind w:left="6552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