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89" w:rsidRPr="00A67689" w:rsidRDefault="00A67689" w:rsidP="00A676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6768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نموذج وصف المقرر</w:t>
      </w:r>
    </w:p>
    <w:p w:rsidR="00A67689" w:rsidRPr="00A67689" w:rsidRDefault="00A67689" w:rsidP="00A67689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  <w:lang w:bidi="ar-IQ"/>
        </w:rPr>
      </w:pPr>
      <w:r w:rsidRPr="00A67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67689" w:rsidRPr="00A67689" w:rsidTr="00C12E42">
        <w:trPr>
          <w:trHeight w:val="794"/>
        </w:trPr>
        <w:tc>
          <w:tcPr>
            <w:tcW w:w="9720" w:type="dxa"/>
            <w:shd w:val="clear" w:color="auto" w:fill="auto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A6768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A67689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A6768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A67689" w:rsidRPr="00A67689" w:rsidRDefault="00A67689" w:rsidP="00A67689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بغداد- كلية العلوم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علوم الحياة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المجاميع النباتية  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مختبرات عملية ومحاضرات نظرية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33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الدراسي الاول /202</w:t>
            </w:r>
            <w:r w:rsidR="00333DCC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-2023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ساعتان عملي  ساعتان نظري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7689" w:rsidRPr="00A67689" w:rsidTr="00C12E4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7689" w:rsidRPr="00A67689" w:rsidRDefault="00333DCC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  <w:t>2024</w:t>
            </w:r>
          </w:p>
        </w:tc>
      </w:tr>
      <w:tr w:rsidR="00A67689" w:rsidRPr="00A67689" w:rsidTr="00C12E42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A67689" w:rsidRPr="00A67689" w:rsidTr="00C12E42">
        <w:trPr>
          <w:trHeight w:val="842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تصنيف الطحالب</w:t>
            </w:r>
          </w:p>
        </w:tc>
      </w:tr>
      <w:tr w:rsidR="00A67689" w:rsidRPr="00A67689" w:rsidTr="00C12E42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دراسة خصائص كل مجموعة</w:t>
            </w:r>
          </w:p>
        </w:tc>
      </w:tr>
      <w:tr w:rsidR="00A67689" w:rsidRPr="00A67689" w:rsidTr="00C12E42">
        <w:trPr>
          <w:trHeight w:val="25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الفحص المجهري للطحالب</w:t>
            </w:r>
          </w:p>
        </w:tc>
      </w:tr>
      <w:tr w:rsidR="00A67689" w:rsidRPr="00A67689" w:rsidTr="00C12E42">
        <w:trPr>
          <w:trHeight w:val="10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تشخيص الطحالب</w:t>
            </w:r>
          </w:p>
        </w:tc>
      </w:tr>
      <w:tr w:rsidR="00A67689" w:rsidRPr="00A67689" w:rsidTr="00C12E42">
        <w:trPr>
          <w:trHeight w:val="29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معرفة الصفة المميزة لكل واحد</w:t>
            </w:r>
          </w:p>
        </w:tc>
      </w:tr>
      <w:tr w:rsidR="00A67689" w:rsidRPr="00A67689" w:rsidTr="00C12E42">
        <w:trPr>
          <w:trHeight w:val="25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67689" w:rsidRPr="00A67689" w:rsidRDefault="00A67689" w:rsidP="00A67689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-181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A67689" w:rsidRPr="00A67689" w:rsidTr="00C12E42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A67689" w:rsidRPr="00A67689" w:rsidTr="00C12E42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نشاط الطالب داخل المختبر واثناء الشرح واجابته على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الاسىلة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الشفوية والتحريرية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A67689" w:rsidRPr="00A67689" w:rsidTr="00C12E42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رسم نماذج الشرائح الزجاجية لكل مجموعة نباتية باستخدام المجهر الضوئي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انواع المجاميع النباتية المختلفة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حفظ الصفات التشخيصية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A67689" w:rsidRPr="00A67689" w:rsidTr="00C12E42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67689" w:rsidRPr="00A67689" w:rsidTr="00C12E42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1.استخدام وسائل التعليم الحديثة مثل شاشة العرض 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وعرض الصور والرسوم والافلام التعليمية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2.استخدام الشرائح الزجاجية لعينات النماذج المدروسة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3.استخدام العينات والرسوم التوضيحية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67689" w:rsidRPr="00A67689" w:rsidTr="00C12E42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.اختبارات اسبوعية  (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  <w:t>QUIZEZ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2.اختبارات فصلية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3.اختبارات نهائية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اشاعة روح التعاون بين الطلبة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خلق بيئة تعليمية يسودها الاحترام المتبادل بين الاساتذة والطلبة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7689" w:rsidRPr="00A67689" w:rsidTr="00C12E42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67689" w:rsidRPr="00A67689" w:rsidTr="00C12E42">
        <w:trPr>
          <w:trHeight w:val="391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67689" w:rsidRPr="00A67689" w:rsidTr="00C12E42">
        <w:trPr>
          <w:trHeight w:val="404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67689" w:rsidRPr="00A67689" w:rsidRDefault="00A67689" w:rsidP="00A6768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التعرف عل ميول الطلبة  والمواهب لديهم وذلك من خلال تعاونهم مع لجان الارشاد  </w:t>
            </w:r>
          </w:p>
          <w:p w:rsidR="00A67689" w:rsidRPr="00A67689" w:rsidRDefault="00A67689" w:rsidP="00A6768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67689" w:rsidRPr="00A67689" w:rsidRDefault="00A67689" w:rsidP="00A6768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A67689" w:rsidRPr="00A67689" w:rsidRDefault="00A67689" w:rsidP="00A6768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tbl>
      <w:tblPr>
        <w:tblpPr w:leftFromText="180" w:rightFromText="180" w:vertAnchor="text" w:horzAnchor="margin" w:tblpXSpec="center" w:tblpY="211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A67689" w:rsidRPr="00A67689" w:rsidTr="00C12E4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A67689" w:rsidRPr="00A67689" w:rsidTr="00C12E4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67689" w:rsidRPr="00A67689" w:rsidTr="00C12E4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فكرة عامة عن الطحالب</w:t>
            </w:r>
          </w:p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تصنيف بعض الانواع التابعة للطحالب الخضراء المزرقة ,الصفات العامة للمجموعة والصفات التشخيصية لكل نموذج او طحلب من الطحالب المختارة للدراسة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الطحالب الخضراء المزرقة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</w:p>
        </w:tc>
      </w:tr>
      <w:tr w:rsidR="00A67689" w:rsidRPr="00A67689" w:rsidTr="00C12E4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الصفات العامة لمجموعة الطحالب الخضراء والصفات التشخيصية لبعض الانواع وكيفية التمييز بينها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الطحالب الخضراء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تشخيص وتصنيف انواع اخرى تعود لمجموعة الطحالب الخضراء ومعرفة اهم الصفات المميزة لها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الطحالب الخضراء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الفروق الاساسية بين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الكارا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والنايتلا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فضلا عن الصفات المميزة للطحالب البنية  والصفات التشخيصية لبعض الانواع التابعة لها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الكاريات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والطحالب البنية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654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الخامس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الخصائص العامة للحالب الحمراء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والدايتومات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فضلا عن الصفات التشخيصية لبعض الامثلة التي تعود لكل مجموعة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الطحالب الحمراء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والدايتومات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الصفات العامة للحزازيات الكبدية مع معرفة الصفات التشخيصية للنموذج 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الممثل لهذه المجموعة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الحزازيات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الصفات العامة للحزازيات القرنية مع معرفة الصفات التشخيصية للنموذج الممثل لهذه المجموعة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القرنيات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</w:p>
        </w:tc>
      </w:tr>
      <w:tr w:rsidR="00A67689" w:rsidRPr="00A67689" w:rsidTr="00C12E4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الصفات التشخيصية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للبيتموس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والاهمية الاقتصادية له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الحزازيات(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بيتموس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Data show</w:t>
            </w: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 المجاهر الضوئية</w:t>
            </w:r>
          </w:p>
        </w:tc>
        <w:tc>
          <w:tcPr>
            <w:tcW w:w="1440" w:type="dxa"/>
            <w:shd w:val="clear" w:color="auto" w:fill="auto"/>
          </w:tcPr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اسئلة شفوية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وتحرريرية</w:t>
            </w:r>
            <w:proofErr w:type="spellEnd"/>
          </w:p>
        </w:tc>
      </w:tr>
      <w:tr w:rsidR="00A67689" w:rsidRPr="00A67689" w:rsidTr="00C12E4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العاشر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A67689" w:rsidRPr="00A67689" w:rsidRDefault="00A67689" w:rsidP="00A6768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  <w:p w:rsidR="00A67689" w:rsidRPr="00A67689" w:rsidRDefault="00A67689" w:rsidP="00A6768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67689" w:rsidRPr="00A67689" w:rsidRDefault="00A67689" w:rsidP="00A67689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A67689" w:rsidRPr="00A67689" w:rsidRDefault="00A67689" w:rsidP="00A67689">
      <w:pPr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A67689" w:rsidRPr="00A67689" w:rsidTr="00C12E4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67689" w:rsidRPr="00A67689" w:rsidTr="00C12E4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الملزمة العلمية المعدة من قبل اساتذة المادة </w:t>
            </w:r>
          </w:p>
        </w:tc>
      </w:tr>
      <w:tr w:rsidR="00A67689" w:rsidRPr="00A67689" w:rsidTr="00C12E4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كتاب النباتات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اللابذرية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 والبذرية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7689" w:rsidRPr="00A67689" w:rsidTr="00C12E42">
        <w:trPr>
          <w:trHeight w:val="3625"/>
        </w:trPr>
        <w:tc>
          <w:tcPr>
            <w:tcW w:w="4007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1.Bellinger, E.G. and </w:t>
            </w:r>
            <w:proofErr w:type="spellStart"/>
            <w:r w:rsidRPr="00A67689">
              <w:rPr>
                <w:rFonts w:ascii="Times New Roman" w:eastAsia="Calibri" w:hAnsi="Times New Roman" w:cs="Times New Roman"/>
                <w:sz w:val="28"/>
                <w:szCs w:val="28"/>
              </w:rPr>
              <w:t>Sigee</w:t>
            </w:r>
            <w:proofErr w:type="spellEnd"/>
            <w:r w:rsidRPr="00A67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D.C. (2010).  Fresh water algae. </w:t>
            </w:r>
            <w:proofErr w:type="spellStart"/>
            <w:r w:rsidRPr="00A67689">
              <w:rPr>
                <w:rFonts w:ascii="Times New Roman" w:eastAsia="Calibri" w:hAnsi="Times New Roman" w:cs="Times New Roman"/>
                <w:sz w:val="28"/>
                <w:szCs w:val="28"/>
              </w:rPr>
              <w:t>JohnWiley</w:t>
            </w:r>
            <w:proofErr w:type="spellEnd"/>
            <w:r w:rsidRPr="00A67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and Sons, Ltd, publication, UK.</w:t>
            </w:r>
          </w:p>
          <w:p w:rsidR="00A67689" w:rsidRPr="00A67689" w:rsidRDefault="00A67689" w:rsidP="00A6768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2.Caldwell, D.E. 1977. The planktonic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microflora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of lakes. Crit. Rev.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Microbiol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. 5, 305-370.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3.</w:t>
            </w:r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Bryophytes: indicators and monitoring agents of pollution</w:t>
            </w:r>
          </w:p>
          <w:p w:rsidR="00A67689" w:rsidRPr="00A67689" w:rsidRDefault="00A67689" w:rsidP="00A6768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H.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Govindapyari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, M.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Leleeka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, M. </w:t>
            </w:r>
            <w:proofErr w:type="spellStart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Nivedita</w:t>
            </w:r>
            <w:proofErr w:type="spellEnd"/>
            <w:r w:rsidRPr="00A67689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and P. L. Uniyal.2010</w:t>
            </w:r>
          </w:p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842"/>
        </w:trPr>
        <w:tc>
          <w:tcPr>
            <w:tcW w:w="4007" w:type="dxa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6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67689" w:rsidRPr="00A67689" w:rsidTr="00C12E42">
        <w:trPr>
          <w:trHeight w:val="41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A67689" w:rsidRPr="00A67689" w:rsidTr="00C12E42">
        <w:trPr>
          <w:trHeight w:val="150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7689" w:rsidRPr="00A67689" w:rsidRDefault="00A67689" w:rsidP="00A6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رفد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المحاظرات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بالافلام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الفيديوية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التعليمية فضلا عن تخصيص اسبوع للطلبة لعمل الشرائح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اليديوية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لاكسابهم</w:t>
            </w:r>
            <w:proofErr w:type="spellEnd"/>
            <w:r w:rsidRPr="00A67689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الخبرة في تشخيص الخصائص المختلفة للمجاميع ومحاولة اجراء السفرات الحقلية للتعرف على الانواع المدروسة والمتوفرة في البيئات المختلفة .  </w:t>
            </w:r>
          </w:p>
        </w:tc>
      </w:tr>
    </w:tbl>
    <w:p w:rsidR="000B1C47" w:rsidRPr="00A67689" w:rsidRDefault="000B1C47" w:rsidP="00333DCC">
      <w:pPr>
        <w:rPr>
          <w:rFonts w:hint="cs"/>
          <w:lang w:bidi="ar-IQ"/>
        </w:rPr>
      </w:pPr>
      <w:bookmarkStart w:id="0" w:name="_GoBack"/>
      <w:bookmarkEnd w:id="0"/>
    </w:p>
    <w:sectPr w:rsidR="000B1C47" w:rsidRPr="00A67689" w:rsidSect="00B20AD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89"/>
    <w:rsid w:val="000B1C47"/>
    <w:rsid w:val="00285840"/>
    <w:rsid w:val="00333DCC"/>
    <w:rsid w:val="00A6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3551</Characters>
  <Application>Microsoft Office Word</Application>
  <DocSecurity>0</DocSecurity>
  <Lines>29</Lines>
  <Paragraphs>8</Paragraphs>
  <ScaleCrop>false</ScaleCrop>
  <Company>SACC - ANAS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AL@manar</dc:creator>
  <cp:lastModifiedBy>AL@manar</cp:lastModifiedBy>
  <cp:revision>3</cp:revision>
  <dcterms:created xsi:type="dcterms:W3CDTF">2023-12-23T17:16:00Z</dcterms:created>
  <dcterms:modified xsi:type="dcterms:W3CDTF">2025-01-05T10:48:00Z</dcterms:modified>
</cp:coreProperties>
</file>