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762EC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Lecture 2</w:t>
      </w:r>
    </w:p>
    <w:p w14:paraId="739B0173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1- Nicotinic acetylcholine receptor (nAChRs)</w:t>
      </w:r>
    </w:p>
    <w:p w14:paraId="1C939396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Nicotinic acetylcholine receptors (</w:t>
      </w:r>
      <w:r>
        <w:rPr>
          <w:rFonts w:asciiTheme="majorBidi" w:hAnsiTheme="majorBidi" w:cstheme="majorBidi"/>
          <w:b/>
          <w:bCs/>
          <w:sz w:val="28"/>
          <w:szCs w:val="28"/>
        </w:rPr>
        <w:t>nAChRs</w:t>
      </w:r>
      <w:r>
        <w:rPr>
          <w:rFonts w:asciiTheme="majorBidi" w:hAnsiTheme="majorBidi" w:cstheme="majorBidi"/>
          <w:sz w:val="28"/>
          <w:szCs w:val="28"/>
        </w:rPr>
        <w:t xml:space="preserve">) are receptor proteins that respond to the neurotransmitter </w:t>
      </w:r>
      <w:hyperlink r:id="rId4" w:tooltip="Acetylcholine" w:history="1">
        <w:r>
          <w:rPr>
            <w:rStyle w:val="Hyperlink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</w:rPr>
          <w:t>acetylcholine</w:t>
        </w:r>
      </w:hyperlink>
      <w:r>
        <w:rPr>
          <w:rFonts w:asciiTheme="majorBidi" w:hAnsiTheme="majorBidi" w:cstheme="majorBidi"/>
          <w:sz w:val="28"/>
          <w:szCs w:val="28"/>
        </w:rPr>
        <w:t xml:space="preserve"> (</w:t>
      </w:r>
      <w:r>
        <w:rPr>
          <w:rFonts w:asciiTheme="majorBidi" w:hAnsiTheme="majorBidi" w:cstheme="majorBidi"/>
          <w:b/>
          <w:bCs/>
          <w:sz w:val="28"/>
          <w:szCs w:val="28"/>
        </w:rPr>
        <w:t>Ach</w:t>
      </w:r>
      <w:r>
        <w:rPr>
          <w:rFonts w:asciiTheme="majorBidi" w:hAnsiTheme="majorBidi" w:cstheme="majorBidi"/>
          <w:sz w:val="28"/>
          <w:szCs w:val="28"/>
        </w:rPr>
        <w:t xml:space="preserve">). Furthermore, those receptors are also responding to drugs, including the nicotinic receptor agonist </w:t>
      </w:r>
      <w:hyperlink r:id="rId5" w:tooltip="Nicotine" w:history="1">
        <w:r>
          <w:rPr>
            <w:rStyle w:val="Hyperlink"/>
            <w:rFonts w:asciiTheme="majorBidi" w:hAnsiTheme="majorBidi" w:cstheme="majorBidi"/>
            <w:b/>
            <w:bCs/>
            <w:color w:val="auto"/>
            <w:sz w:val="28"/>
            <w:szCs w:val="28"/>
            <w:u w:val="none"/>
          </w:rPr>
          <w:t>nicotine</w:t>
        </w:r>
      </w:hyperlink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6491B03D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nAChRs are found in the central and peripheral nervous system, muscle, and many other tissues of many organisms, including humans. At the </w:t>
      </w:r>
      <w:hyperlink r:id="rId6" w:tooltip="Neuromuscular juncti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neuromuscular junction</w:t>
        </w:r>
      </w:hyperlink>
      <w:r>
        <w:rPr>
          <w:rFonts w:asciiTheme="majorBidi" w:hAnsiTheme="majorBidi" w:cstheme="majorBidi"/>
          <w:sz w:val="28"/>
          <w:szCs w:val="28"/>
        </w:rPr>
        <w:t xml:space="preserve"> (NMJ), they are the primary receptor in muscle for motor nerve-muscle communication that controls muscle contraction. </w:t>
      </w:r>
    </w:p>
    <w:p w14:paraId="442310B1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the peripheral nervous system (PNS): </w:t>
      </w:r>
    </w:p>
    <w:p w14:paraId="10442BCC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1- They transmit outgoing signals from the presynaptic to the postsynaptic cells within the sympathetic and parasympathetic nervous system, and </w:t>
      </w:r>
    </w:p>
    <w:p w14:paraId="2250EE41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2- They are the receptors found on skeletal muscle that receive Ach released to signal for muscular contraction. </w:t>
      </w:r>
    </w:p>
    <w:p w14:paraId="15D0EF7C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NOTE</w:t>
      </w:r>
      <w:r>
        <w:rPr>
          <w:rFonts w:asciiTheme="majorBidi" w:hAnsiTheme="majorBidi" w:cstheme="majorBidi"/>
          <w:sz w:val="28"/>
          <w:szCs w:val="28"/>
        </w:rPr>
        <w:t xml:space="preserve">: As </w:t>
      </w:r>
      <w:hyperlink r:id="rId7" w:tooltip="Ionotropic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ionotropic</w:t>
        </w:r>
      </w:hyperlink>
      <w:r>
        <w:rPr>
          <w:rFonts w:asciiTheme="majorBidi" w:hAnsiTheme="majorBidi" w:cstheme="majorBidi"/>
          <w:sz w:val="28"/>
          <w:szCs w:val="28"/>
        </w:rPr>
        <w:t xml:space="preserve"> receptors, nAChRs are </w:t>
      </w:r>
      <w:r>
        <w:rPr>
          <w:rFonts w:asciiTheme="majorBidi" w:hAnsiTheme="majorBidi" w:cstheme="majorBidi"/>
          <w:b/>
          <w:bCs/>
          <w:sz w:val="28"/>
          <w:szCs w:val="28"/>
        </w:rPr>
        <w:t>directly</w:t>
      </w:r>
      <w:r>
        <w:rPr>
          <w:rFonts w:asciiTheme="majorBidi" w:hAnsiTheme="majorBidi" w:cstheme="majorBidi"/>
          <w:sz w:val="28"/>
          <w:szCs w:val="28"/>
        </w:rPr>
        <w:t xml:space="preserve"> linked to ion channels. But evidence published by investigators at 2013 suggested that, these receptors can also use </w:t>
      </w:r>
      <w:hyperlink r:id="rId8" w:tooltip="Second messengers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second messengers</w:t>
        </w:r>
      </w:hyperlink>
      <w:r>
        <w:rPr>
          <w:rFonts w:asciiTheme="majorBidi" w:hAnsiTheme="majorBidi" w:cstheme="majorBidi"/>
          <w:sz w:val="28"/>
          <w:szCs w:val="28"/>
        </w:rPr>
        <w:t xml:space="preserve"> (as </w:t>
      </w:r>
      <w:hyperlink r:id="rId9" w:tooltip="Metabotropic receptor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metabotropic receptors</w:t>
        </w:r>
      </w:hyperlink>
      <w:r>
        <w:rPr>
          <w:rFonts w:asciiTheme="majorBidi" w:hAnsiTheme="majorBidi" w:cstheme="majorBidi"/>
          <w:sz w:val="28"/>
          <w:szCs w:val="28"/>
        </w:rPr>
        <w:t xml:space="preserve"> do) in some cases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 </w:t>
      </w:r>
    </w:p>
    <w:p w14:paraId="0B80208C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Since nicotinic receptors help transmit outgoing signals for the sympathetic and parasympathetic systems, nicotinic receptor antagonists such as </w:t>
      </w:r>
      <w:r>
        <w:rPr>
          <w:rFonts w:asciiTheme="majorBidi" w:hAnsiTheme="majorBidi" w:cstheme="majorBidi"/>
          <w:b/>
          <w:bCs/>
          <w:sz w:val="28"/>
          <w:szCs w:val="28"/>
        </w:rPr>
        <w:t>hexamethonium</w:t>
      </w:r>
      <w:r>
        <w:rPr>
          <w:rFonts w:asciiTheme="majorBidi" w:hAnsiTheme="majorBidi" w:cstheme="majorBidi"/>
          <w:sz w:val="28"/>
          <w:szCs w:val="28"/>
        </w:rPr>
        <w:t xml:space="preserve"> can interfere with the transmission of these signals. Thus, such nicotinic receptor antagonists can interfere with the </w:t>
      </w:r>
      <w:hyperlink r:id="rId10" w:tooltip="Baroreflex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baroreflex</w:t>
        </w:r>
      </w:hyperlink>
      <w:r>
        <w:rPr>
          <w:rFonts w:asciiTheme="majorBidi" w:hAnsiTheme="majorBidi" w:cstheme="majorBidi"/>
          <w:sz w:val="28"/>
          <w:szCs w:val="28"/>
        </w:rPr>
        <w:t xml:space="preserve"> that normally corrects changes in blood pressure (BP) by sympathetic and parasympathetic stimulation of the heart.</w:t>
      </w:r>
    </w:p>
    <w:p w14:paraId="4D6D4CB0" w14:textId="77777777" w:rsidR="006E4F6F" w:rsidRDefault="006E4F6F" w:rsidP="006E4F6F">
      <w:pPr>
        <w:spacing w:line="360" w:lineRule="auto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vertebrates, nAChRs are broadly classified into two subtypes based on their primary sites of expression: </w:t>
      </w:r>
    </w:p>
    <w:p w14:paraId="7523CDC2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1- Muscle-type nicotinic receptors and </w:t>
      </w:r>
    </w:p>
    <w:p w14:paraId="799972CD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2- Neuronal-type nicotinic receptors. </w:t>
      </w:r>
    </w:p>
    <w:p w14:paraId="0ED60EE6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the </w:t>
      </w:r>
      <w:r>
        <w:rPr>
          <w:rFonts w:asciiTheme="majorBidi" w:hAnsiTheme="majorBidi" w:cstheme="majorBidi"/>
          <w:b/>
          <w:bCs/>
          <w:sz w:val="28"/>
          <w:szCs w:val="28"/>
        </w:rPr>
        <w:t>muscle</w:t>
      </w:r>
      <w:r>
        <w:rPr>
          <w:rFonts w:asciiTheme="majorBidi" w:hAnsiTheme="majorBidi" w:cstheme="majorBidi"/>
          <w:sz w:val="28"/>
          <w:szCs w:val="28"/>
        </w:rPr>
        <w:t xml:space="preserve">-type receptors, found at the NMJ, receptors are either the embryonic form, composed of α1, β1, γ, and δ subunits in a 2:1:1:1 ratio, or the adult form composed of α1, β1, δ, and ε subunits in a 2:1:1:1 ratio. While, the </w:t>
      </w:r>
      <w:r>
        <w:rPr>
          <w:rFonts w:asciiTheme="majorBidi" w:hAnsiTheme="majorBidi" w:cstheme="majorBidi"/>
          <w:b/>
          <w:bCs/>
          <w:sz w:val="28"/>
          <w:szCs w:val="28"/>
        </w:rPr>
        <w:t>neuronal</w:t>
      </w:r>
      <w:r>
        <w:rPr>
          <w:rFonts w:asciiTheme="majorBidi" w:hAnsiTheme="majorBidi" w:cstheme="majorBidi"/>
          <w:sz w:val="28"/>
          <w:szCs w:val="28"/>
        </w:rPr>
        <w:t xml:space="preserve">-types are various homomeric (all one type of subunit) or heteromeric (at least one α and one β) combinations of twelve different nicotinic receptor subunits: α2−α10 and β2−β4. </w:t>
      </w:r>
    </w:p>
    <w:p w14:paraId="45063ABD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Binding to the receptor</w:t>
      </w:r>
    </w:p>
    <w:p w14:paraId="1B082C72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>
        <w:rPr>
          <w:rFonts w:asciiTheme="majorBidi" w:hAnsiTheme="majorBidi" w:cstheme="majorBidi"/>
          <w:sz w:val="28"/>
          <w:szCs w:val="28"/>
        </w:rPr>
        <w:t xml:space="preserve">In </w:t>
      </w:r>
      <w:r>
        <w:rPr>
          <w:rFonts w:asciiTheme="majorBidi" w:hAnsiTheme="majorBidi" w:cstheme="majorBidi"/>
          <w:b/>
          <w:bCs/>
          <w:sz w:val="28"/>
          <w:szCs w:val="28"/>
        </w:rPr>
        <w:t>muscle</w:t>
      </w:r>
      <w:r>
        <w:rPr>
          <w:rFonts w:asciiTheme="majorBidi" w:hAnsiTheme="majorBidi" w:cstheme="majorBidi"/>
          <w:sz w:val="28"/>
          <w:szCs w:val="28"/>
        </w:rPr>
        <w:t xml:space="preserve">-type nAChRs, the ACh binding sites are located at the α and either ε or δ subunits interface. In neuronal nAChRs, the binding site is located at the interface of α and β subunit or between two α subunits in the case of α7 receptors. The binding site is located in the extracellular domain near the </w:t>
      </w:r>
      <w:hyperlink r:id="rId11" w:tooltip="N-terminal end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N terminus</w:t>
        </w:r>
      </w:hyperlink>
      <w:r>
        <w:rPr>
          <w:rFonts w:asciiTheme="majorBidi" w:hAnsiTheme="majorBidi" w:cstheme="majorBidi"/>
          <w:sz w:val="28"/>
          <w:szCs w:val="28"/>
        </w:rPr>
        <w:t>. When an agonist binds to the site, all present subunits undergo a conformational change and the channel is opened</w:t>
      </w:r>
      <w:r>
        <w:rPr>
          <w:rFonts w:asciiTheme="majorBidi" w:hAnsiTheme="majorBidi" w:cstheme="majorBidi"/>
          <w:sz w:val="28"/>
          <w:szCs w:val="28"/>
          <w:vertAlign w:val="superscript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and a pore with a diameter of about 0.65 nm opens. </w:t>
      </w:r>
    </w:p>
    <w:p w14:paraId="239DC557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Opening the channel</w:t>
      </w:r>
    </w:p>
    <w:p w14:paraId="76A86FB9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Nicotinic </w:t>
      </w:r>
      <w:proofErr w:type="spellStart"/>
      <w:r>
        <w:rPr>
          <w:rFonts w:asciiTheme="majorBidi" w:hAnsiTheme="majorBidi" w:cstheme="majorBidi"/>
          <w:sz w:val="28"/>
          <w:szCs w:val="28"/>
        </w:rPr>
        <w:t>AChRs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may exist in different inter-convertible conformational states. Binding of an agonist can stabilize the open and desensitized states. Opening of the channel allows positively-charged </w:t>
      </w:r>
      <w:hyperlink r:id="rId12" w:tooltip="I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ions</w:t>
        </w:r>
      </w:hyperlink>
      <w:r>
        <w:rPr>
          <w:rFonts w:asciiTheme="majorBidi" w:hAnsiTheme="majorBidi" w:cstheme="majorBidi"/>
          <w:sz w:val="28"/>
          <w:szCs w:val="28"/>
        </w:rPr>
        <w:t xml:space="preserve"> to move across it; in particular, </w:t>
      </w:r>
      <w:hyperlink r:id="rId13" w:tooltip="Sodium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sodium</w:t>
        </w:r>
      </w:hyperlink>
      <w:r>
        <w:rPr>
          <w:rFonts w:asciiTheme="majorBidi" w:hAnsiTheme="majorBidi" w:cstheme="majorBidi"/>
          <w:sz w:val="28"/>
          <w:szCs w:val="28"/>
        </w:rPr>
        <w:t xml:space="preserve"> (Na</w:t>
      </w:r>
      <w:r>
        <w:rPr>
          <w:rFonts w:asciiTheme="majorBidi" w:hAnsiTheme="majorBidi" w:cstheme="majorBidi"/>
          <w:sz w:val="28"/>
          <w:szCs w:val="28"/>
          <w:vertAlign w:val="superscript"/>
        </w:rPr>
        <w:t>+</w:t>
      </w:r>
      <w:r>
        <w:rPr>
          <w:rFonts w:asciiTheme="majorBidi" w:hAnsiTheme="majorBidi" w:cstheme="majorBidi"/>
          <w:sz w:val="28"/>
          <w:szCs w:val="28"/>
        </w:rPr>
        <w:t xml:space="preserve">) enters the cell and </w:t>
      </w:r>
      <w:hyperlink r:id="rId14" w:tooltip="Potassium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potassium</w:t>
        </w:r>
      </w:hyperlink>
      <w:r>
        <w:rPr>
          <w:rFonts w:asciiTheme="majorBidi" w:hAnsiTheme="majorBidi" w:cstheme="majorBidi"/>
          <w:sz w:val="28"/>
          <w:szCs w:val="28"/>
        </w:rPr>
        <w:t xml:space="preserve"> (K</w:t>
      </w:r>
      <w:r>
        <w:rPr>
          <w:rFonts w:asciiTheme="majorBidi" w:hAnsiTheme="majorBidi" w:cstheme="majorBidi"/>
          <w:sz w:val="28"/>
          <w:szCs w:val="28"/>
          <w:vertAlign w:val="superscript"/>
        </w:rPr>
        <w:t>+</w:t>
      </w:r>
      <w:r>
        <w:rPr>
          <w:rFonts w:asciiTheme="majorBidi" w:hAnsiTheme="majorBidi" w:cstheme="majorBidi"/>
          <w:sz w:val="28"/>
          <w:szCs w:val="28"/>
        </w:rPr>
        <w:t>) exits. The net flow of positively charged ions is inward.</w:t>
      </w:r>
    </w:p>
    <w:p w14:paraId="36D2F33C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NOTE</w:t>
      </w:r>
      <w:r>
        <w:rPr>
          <w:rFonts w:asciiTheme="majorBidi" w:hAnsiTheme="majorBidi" w:cstheme="majorBidi"/>
          <w:sz w:val="28"/>
          <w:szCs w:val="28"/>
        </w:rPr>
        <w:t xml:space="preserve">: The nAChR is a </w:t>
      </w:r>
      <w:r>
        <w:rPr>
          <w:rFonts w:asciiTheme="majorBidi" w:hAnsiTheme="majorBidi" w:cstheme="majorBidi"/>
          <w:b/>
          <w:bCs/>
          <w:sz w:val="28"/>
          <w:szCs w:val="28"/>
        </w:rPr>
        <w:t>non-selective cation channel</w:t>
      </w:r>
      <w:r>
        <w:rPr>
          <w:rFonts w:asciiTheme="majorBidi" w:hAnsiTheme="majorBidi" w:cstheme="majorBidi"/>
          <w:sz w:val="28"/>
          <w:szCs w:val="28"/>
        </w:rPr>
        <w:t>, in other word; several different positively-charged ions can cross through. It is permeable to Na</w:t>
      </w:r>
      <w:r>
        <w:rPr>
          <w:rFonts w:asciiTheme="majorBidi" w:hAnsiTheme="majorBidi" w:cstheme="majorBidi"/>
          <w:sz w:val="28"/>
          <w:szCs w:val="28"/>
          <w:vertAlign w:val="superscript"/>
        </w:rPr>
        <w:t>+</w:t>
      </w:r>
      <w:r>
        <w:rPr>
          <w:rFonts w:asciiTheme="majorBidi" w:hAnsiTheme="majorBidi" w:cstheme="majorBidi"/>
          <w:sz w:val="28"/>
          <w:szCs w:val="28"/>
        </w:rPr>
        <w:t xml:space="preserve"> and K</w:t>
      </w:r>
      <w:r>
        <w:rPr>
          <w:rFonts w:asciiTheme="majorBidi" w:hAnsiTheme="majorBidi" w:cstheme="majorBidi"/>
          <w:sz w:val="28"/>
          <w:szCs w:val="28"/>
          <w:vertAlign w:val="superscript"/>
        </w:rPr>
        <w:t>+</w:t>
      </w:r>
      <w:r>
        <w:rPr>
          <w:rFonts w:asciiTheme="majorBidi" w:hAnsiTheme="majorBidi" w:cstheme="majorBidi"/>
          <w:sz w:val="28"/>
          <w:szCs w:val="28"/>
        </w:rPr>
        <w:t>, with some subunit combinations that are also permeable to Ca</w:t>
      </w:r>
      <w:r>
        <w:rPr>
          <w:rFonts w:asciiTheme="majorBidi" w:hAnsiTheme="majorBidi" w:cstheme="majorBidi"/>
          <w:sz w:val="28"/>
          <w:szCs w:val="28"/>
          <w:vertAlign w:val="superscript"/>
        </w:rPr>
        <w:t>2+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55CA1558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NOTE</w:t>
      </w:r>
      <w:r>
        <w:rPr>
          <w:rFonts w:asciiTheme="majorBidi" w:hAnsiTheme="majorBidi" w:cstheme="majorBidi"/>
          <w:sz w:val="28"/>
          <w:szCs w:val="28"/>
        </w:rPr>
        <w:t xml:space="preserve">: Many neuronal nAChRs can affect the release of other NTs. The channel usually opens rapidly and tends to remain open until the </w:t>
      </w:r>
      <w:hyperlink r:id="rId15" w:tooltip="Agonist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agonist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hyperlink r:id="rId16" w:tooltip="Diffusi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diffuses</w:t>
        </w:r>
      </w:hyperlink>
      <w:r>
        <w:rPr>
          <w:rFonts w:asciiTheme="majorBidi" w:hAnsiTheme="majorBidi" w:cstheme="majorBidi"/>
          <w:sz w:val="28"/>
          <w:szCs w:val="28"/>
        </w:rPr>
        <w:t xml:space="preserve"> away, which usually takes about one (1) </w:t>
      </w:r>
      <w:hyperlink r:id="rId17" w:tooltip="Millisecond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millisecond</w:t>
        </w:r>
      </w:hyperlink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44A1B4EC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NOTE</w:t>
      </w:r>
      <w:r>
        <w:rPr>
          <w:rFonts w:asciiTheme="majorBidi" w:hAnsiTheme="majorBidi" w:cstheme="majorBidi"/>
          <w:sz w:val="28"/>
          <w:szCs w:val="28"/>
        </w:rPr>
        <w:t xml:space="preserve">: The nAChR is unable to bind ACh when bound to any of the </w:t>
      </w:r>
      <w:hyperlink r:id="rId18" w:tooltip="Snake venom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snake venom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  <w:hyperlink r:id="rId19" w:tooltip="Alpha-neurotoxi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α-neurotoxins</w:t>
        </w:r>
      </w:hyperlink>
      <w:r>
        <w:rPr>
          <w:rFonts w:asciiTheme="majorBidi" w:hAnsiTheme="majorBidi" w:cstheme="majorBidi"/>
          <w:sz w:val="28"/>
          <w:szCs w:val="28"/>
        </w:rPr>
        <w:t xml:space="preserve">, which antagonistically bind tightly and </w:t>
      </w:r>
      <w:r>
        <w:rPr>
          <w:rFonts w:asciiTheme="majorBidi" w:hAnsiTheme="majorBidi" w:cstheme="majorBidi"/>
          <w:b/>
          <w:bCs/>
          <w:sz w:val="28"/>
          <w:szCs w:val="28"/>
        </w:rPr>
        <w:t>non-covalently</w:t>
      </w:r>
      <w:r>
        <w:rPr>
          <w:rFonts w:asciiTheme="majorBidi" w:hAnsiTheme="majorBidi" w:cstheme="majorBidi"/>
          <w:sz w:val="28"/>
          <w:szCs w:val="28"/>
        </w:rPr>
        <w:t xml:space="preserve"> to nAChRs of skeletal muscles and in neurons, thereby blocking the action of ACh at the postsynaptic membrane, inhibiting ion flow and in turn can lead to paralysis and death. </w:t>
      </w:r>
    </w:p>
    <w:p w14:paraId="0AA6A76A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Effects </w:t>
      </w:r>
    </w:p>
    <w:p w14:paraId="367153A4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The activation of receptors by </w:t>
      </w:r>
      <w:r>
        <w:rPr>
          <w:rFonts w:asciiTheme="majorBidi" w:hAnsiTheme="majorBidi" w:cstheme="majorBidi"/>
          <w:b/>
          <w:bCs/>
          <w:sz w:val="28"/>
          <w:szCs w:val="28"/>
        </w:rPr>
        <w:t>nicotine</w:t>
      </w:r>
      <w:r>
        <w:rPr>
          <w:rFonts w:asciiTheme="majorBidi" w:hAnsiTheme="majorBidi" w:cstheme="majorBidi"/>
          <w:sz w:val="28"/>
          <w:szCs w:val="28"/>
        </w:rPr>
        <w:t xml:space="preserve"> modifies the state of  </w:t>
      </w:r>
      <w:hyperlink r:id="rId20" w:tooltip="Neurons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neurons</w:t>
        </w:r>
      </w:hyperlink>
      <w:r>
        <w:rPr>
          <w:rFonts w:asciiTheme="majorBidi" w:hAnsiTheme="majorBidi" w:cstheme="majorBidi"/>
          <w:sz w:val="28"/>
          <w:szCs w:val="28"/>
        </w:rPr>
        <w:t xml:space="preserve"> through two main mechanisms. On one hand, the movement of </w:t>
      </w:r>
      <w:hyperlink r:id="rId21" w:tooltip="Cati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cations</w:t>
        </w:r>
      </w:hyperlink>
      <w:r>
        <w:rPr>
          <w:rFonts w:asciiTheme="majorBidi" w:hAnsiTheme="majorBidi" w:cstheme="majorBidi"/>
          <w:sz w:val="28"/>
          <w:szCs w:val="28"/>
        </w:rPr>
        <w:t xml:space="preserve"> causes a </w:t>
      </w:r>
      <w:hyperlink r:id="rId22" w:tooltip="Depolarizati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depolarization</w:t>
        </w:r>
      </w:hyperlink>
      <w:r>
        <w:rPr>
          <w:rFonts w:asciiTheme="majorBidi" w:hAnsiTheme="majorBidi" w:cstheme="majorBidi"/>
          <w:sz w:val="28"/>
          <w:szCs w:val="28"/>
        </w:rPr>
        <w:t xml:space="preserve"> of the plasma membrane (which results in an </w:t>
      </w:r>
      <w:hyperlink r:id="rId23" w:tooltip="Excitatory postsynaptic potential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excitatory postsynaptic potential</w:t>
        </w:r>
      </w:hyperlink>
      <w:r>
        <w:rPr>
          <w:rFonts w:asciiTheme="majorBidi" w:hAnsiTheme="majorBidi" w:cstheme="majorBidi"/>
          <w:sz w:val="28"/>
          <w:szCs w:val="28"/>
        </w:rPr>
        <w:t xml:space="preserve"> in </w:t>
      </w:r>
      <w:hyperlink r:id="rId24" w:tooltip="Neuron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neurons</w:t>
        </w:r>
      </w:hyperlink>
      <w:r>
        <w:rPr>
          <w:rFonts w:asciiTheme="majorBidi" w:hAnsiTheme="majorBidi" w:cstheme="majorBidi"/>
          <w:sz w:val="28"/>
          <w:szCs w:val="28"/>
        </w:rPr>
        <w:t xml:space="preserve">), but also by the activation of </w:t>
      </w:r>
      <w:hyperlink r:id="rId25" w:tooltip="Voltage-gated ion channel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voltage-gated ion channels</w:t>
        </w:r>
      </w:hyperlink>
      <w:r>
        <w:rPr>
          <w:rFonts w:asciiTheme="majorBidi" w:hAnsiTheme="majorBidi" w:cstheme="majorBidi"/>
          <w:sz w:val="28"/>
          <w:szCs w:val="28"/>
        </w:rPr>
        <w:t xml:space="preserve"> (VGC). On the other hand, the entry of calcium (Ca</w:t>
      </w:r>
      <w:r>
        <w:rPr>
          <w:rFonts w:asciiTheme="majorBidi" w:hAnsiTheme="majorBidi" w:cstheme="majorBidi"/>
          <w:sz w:val="28"/>
          <w:szCs w:val="28"/>
          <w:vertAlign w:val="superscript"/>
        </w:rPr>
        <w:t>++</w:t>
      </w:r>
      <w:r>
        <w:rPr>
          <w:rFonts w:asciiTheme="majorBidi" w:hAnsiTheme="majorBidi" w:cstheme="majorBidi"/>
          <w:sz w:val="28"/>
          <w:szCs w:val="28"/>
        </w:rPr>
        <w:t xml:space="preserve">) acts, either directly or indirectly, on different </w:t>
      </w:r>
      <w:hyperlink r:id="rId26" w:tooltip="Biochemical cascade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intracellular cascades</w:t>
        </w:r>
      </w:hyperlink>
      <w:r>
        <w:rPr>
          <w:rFonts w:asciiTheme="majorBidi" w:hAnsiTheme="majorBidi" w:cstheme="majorBidi"/>
          <w:sz w:val="28"/>
          <w:szCs w:val="28"/>
        </w:rPr>
        <w:t xml:space="preserve">. This leads, for example, to the regulation of the activity of some </w:t>
      </w:r>
      <w:hyperlink r:id="rId27" w:tooltip="Gene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genes</w:t>
        </w:r>
      </w:hyperlink>
      <w:r>
        <w:rPr>
          <w:rFonts w:asciiTheme="majorBidi" w:hAnsiTheme="majorBidi" w:cstheme="majorBidi"/>
          <w:sz w:val="28"/>
          <w:szCs w:val="28"/>
        </w:rPr>
        <w:t xml:space="preserve"> or the release of </w:t>
      </w:r>
      <w:hyperlink r:id="rId28" w:tooltip="Neurotransmitters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neurotransmitters</w:t>
        </w:r>
      </w:hyperlink>
      <w:r>
        <w:rPr>
          <w:rFonts w:asciiTheme="majorBidi" w:hAnsiTheme="majorBidi" w:cstheme="majorBidi"/>
          <w:sz w:val="28"/>
          <w:szCs w:val="28"/>
        </w:rPr>
        <w:t>.</w:t>
      </w:r>
    </w:p>
    <w:p w14:paraId="34A29505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Receptor regulation (Modulation)</w:t>
      </w:r>
    </w:p>
    <w:p w14:paraId="5C3B9D82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The function of nAChR can be regulated (modulated) by:</w:t>
      </w:r>
    </w:p>
    <w:p w14:paraId="76166302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1- Phosphorylation via the activation of second messenger-dependent protein kinases; where, protein kinase A (</w:t>
      </w:r>
      <w:hyperlink r:id="rId29" w:tooltip="Protein kinase A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PKA</w:t>
        </w:r>
      </w:hyperlink>
      <w:r>
        <w:rPr>
          <w:rFonts w:asciiTheme="majorBidi" w:hAnsiTheme="majorBidi" w:cstheme="majorBidi"/>
          <w:sz w:val="28"/>
          <w:szCs w:val="28"/>
        </w:rPr>
        <w:t xml:space="preserve">) and </w:t>
      </w:r>
      <w:hyperlink r:id="rId30" w:tooltip="Protein kinase C" w:history="1">
        <w:r>
          <w:rPr>
            <w:rStyle w:val="Hyperlink"/>
            <w:rFonts w:asciiTheme="majorBidi" w:hAnsiTheme="majorBidi" w:cstheme="majorBidi"/>
            <w:color w:val="auto"/>
            <w:sz w:val="28"/>
            <w:szCs w:val="28"/>
            <w:u w:val="none"/>
          </w:rPr>
          <w:t>PKC</w:t>
        </w:r>
      </w:hyperlink>
      <w:r>
        <w:rPr>
          <w:rFonts w:asciiTheme="majorBidi" w:hAnsiTheme="majorBidi" w:cstheme="majorBidi"/>
          <w:sz w:val="28"/>
          <w:szCs w:val="28"/>
        </w:rPr>
        <w:t xml:space="preserve">, as well as tyrosine kinases, have been shown to phosphorylate the nAChR resulting in its </w:t>
      </w:r>
      <w:r>
        <w:rPr>
          <w:rFonts w:asciiTheme="majorBidi" w:hAnsiTheme="majorBidi" w:cstheme="majorBidi"/>
          <w:b/>
          <w:bCs/>
          <w:sz w:val="28"/>
          <w:szCs w:val="28"/>
        </w:rPr>
        <w:t>desensitization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53E13B50" w14:textId="77777777" w:rsidR="006E4F6F" w:rsidRDefault="006E4F6F" w:rsidP="006E4F6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NOTE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Receptor desensitization: </w:t>
      </w:r>
      <w:r>
        <w:rPr>
          <w:rFonts w:asciiTheme="majorBidi" w:hAnsiTheme="majorBidi" w:cstheme="majorBidi"/>
          <w:sz w:val="28"/>
          <w:szCs w:val="28"/>
        </w:rPr>
        <w:t>The term desensitization means, prolonged or repeated exposure to a stimulus and this can result in decreased responsiveness of that receptor toward a stimulus.</w:t>
      </w:r>
    </w:p>
    <w:p w14:paraId="02AD4202" w14:textId="77777777" w:rsidR="006E4F6F" w:rsidRDefault="006E4F6F" w:rsidP="006E4F6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2- It has been reported that, after prolonged receptor exposure to the agonist, the agonist itself causes an agonist-induced conformational change in the receptor, resulting in receptor </w:t>
      </w:r>
      <w:r>
        <w:rPr>
          <w:rFonts w:asciiTheme="majorBidi" w:hAnsiTheme="majorBidi" w:cstheme="majorBidi"/>
          <w:b/>
          <w:bCs/>
          <w:sz w:val="28"/>
          <w:szCs w:val="28"/>
        </w:rPr>
        <w:t>desensitization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4BCA0750" w14:textId="77777777" w:rsidR="006E4F6F" w:rsidRDefault="006E4F6F" w:rsidP="006E4F6F"/>
    <w:p w14:paraId="1B0B8443" w14:textId="77777777" w:rsidR="00D85115" w:rsidRDefault="00D85115"/>
    <w:sectPr w:rsidR="00D85115" w:rsidSect="006E4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6F"/>
    <w:rsid w:val="00160909"/>
    <w:rsid w:val="001F542F"/>
    <w:rsid w:val="004A6F12"/>
    <w:rsid w:val="006E4F6F"/>
    <w:rsid w:val="00B320A9"/>
    <w:rsid w:val="00D8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06F3"/>
  <w15:chartTrackingRefBased/>
  <w15:docId w15:val="{D929398D-D400-4294-87B4-1F1C558E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6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F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F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F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F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F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F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F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F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F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F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F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F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F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E4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F6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E4F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F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F6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6E4F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econd_messengers" TargetMode="External"/><Relationship Id="rId13" Type="http://schemas.openxmlformats.org/officeDocument/2006/relationships/hyperlink" Target="https://en.wikipedia.org/wiki/Sodium" TargetMode="External"/><Relationship Id="rId18" Type="http://schemas.openxmlformats.org/officeDocument/2006/relationships/hyperlink" Target="https://en.wikipedia.org/wiki/Snake_venom" TargetMode="External"/><Relationship Id="rId26" Type="http://schemas.openxmlformats.org/officeDocument/2006/relationships/hyperlink" Target="https://en.wikipedia.org/wiki/Biochemical_cascad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n.wikipedia.org/wiki/Cation" TargetMode="External"/><Relationship Id="rId7" Type="http://schemas.openxmlformats.org/officeDocument/2006/relationships/hyperlink" Target="https://en.wikipedia.org/wiki/Ionotropic" TargetMode="External"/><Relationship Id="rId12" Type="http://schemas.openxmlformats.org/officeDocument/2006/relationships/hyperlink" Target="https://en.wikipedia.org/wiki/Ion" TargetMode="External"/><Relationship Id="rId17" Type="http://schemas.openxmlformats.org/officeDocument/2006/relationships/hyperlink" Target="https://en.wikipedia.org/wiki/Millisecond" TargetMode="External"/><Relationship Id="rId25" Type="http://schemas.openxmlformats.org/officeDocument/2006/relationships/hyperlink" Target="https://en.wikipedia.org/wiki/Voltage-gated_ion_channe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Diffusion" TargetMode="External"/><Relationship Id="rId20" Type="http://schemas.openxmlformats.org/officeDocument/2006/relationships/hyperlink" Target="https://en.wikipedia.org/wiki/Neurons" TargetMode="External"/><Relationship Id="rId29" Type="http://schemas.openxmlformats.org/officeDocument/2006/relationships/hyperlink" Target="https://en.wikipedia.org/wiki/Protein_kinase_A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Neuromuscular_junction" TargetMode="External"/><Relationship Id="rId11" Type="http://schemas.openxmlformats.org/officeDocument/2006/relationships/hyperlink" Target="https://en.wikipedia.org/wiki/N-terminal_end" TargetMode="External"/><Relationship Id="rId24" Type="http://schemas.openxmlformats.org/officeDocument/2006/relationships/hyperlink" Target="https://en.wikipedia.org/wiki/Neuron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en.wikipedia.org/wiki/Nicotine" TargetMode="External"/><Relationship Id="rId15" Type="http://schemas.openxmlformats.org/officeDocument/2006/relationships/hyperlink" Target="https://en.wikipedia.org/wiki/Agonist" TargetMode="External"/><Relationship Id="rId23" Type="http://schemas.openxmlformats.org/officeDocument/2006/relationships/hyperlink" Target="https://en.wikipedia.org/wiki/Excitatory_postsynaptic_potential" TargetMode="External"/><Relationship Id="rId28" Type="http://schemas.openxmlformats.org/officeDocument/2006/relationships/hyperlink" Target="https://en.wikipedia.org/wiki/Neurotransmitters" TargetMode="External"/><Relationship Id="rId10" Type="http://schemas.openxmlformats.org/officeDocument/2006/relationships/hyperlink" Target="https://en.wikipedia.org/wiki/Baroreflex" TargetMode="External"/><Relationship Id="rId19" Type="http://schemas.openxmlformats.org/officeDocument/2006/relationships/hyperlink" Target="https://en.wikipedia.org/wiki/Alpha-neurotoxin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en.wikipedia.org/wiki/Acetylcholine" TargetMode="External"/><Relationship Id="rId9" Type="http://schemas.openxmlformats.org/officeDocument/2006/relationships/hyperlink" Target="https://en.wikipedia.org/wiki/Metabotropic_receptor" TargetMode="External"/><Relationship Id="rId14" Type="http://schemas.openxmlformats.org/officeDocument/2006/relationships/hyperlink" Target="https://en.wikipedia.org/wiki/Potassium" TargetMode="External"/><Relationship Id="rId22" Type="http://schemas.openxmlformats.org/officeDocument/2006/relationships/hyperlink" Target="https://en.wikipedia.org/wiki/Depolarization" TargetMode="External"/><Relationship Id="rId27" Type="http://schemas.openxmlformats.org/officeDocument/2006/relationships/hyperlink" Target="https://en.wikipedia.org/wiki/Gene" TargetMode="External"/><Relationship Id="rId30" Type="http://schemas.openxmlformats.org/officeDocument/2006/relationships/hyperlink" Target="https://en.wikipedia.org/wiki/Protein_kinase_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6068</Characters>
  <Application>Microsoft Office Word</Application>
  <DocSecurity>0</DocSecurity>
  <Lines>50</Lines>
  <Paragraphs>14</Paragraphs>
  <ScaleCrop>false</ScaleCrop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Al-Shawi</dc:creator>
  <cp:keywords/>
  <dc:description/>
  <cp:lastModifiedBy>Nada Al-Shawi</cp:lastModifiedBy>
  <cp:revision>1</cp:revision>
  <dcterms:created xsi:type="dcterms:W3CDTF">2026-09-07T17:52:00Z</dcterms:created>
  <dcterms:modified xsi:type="dcterms:W3CDTF">2026-09-07T17:52:00Z</dcterms:modified>
</cp:coreProperties>
</file>