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B28A2"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Lecture 4</w:t>
      </w:r>
    </w:p>
    <w:p w14:paraId="11A2B3A2"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Mechanism of Class I Nuclear Receptor</w:t>
      </w:r>
    </w:p>
    <w:p w14:paraId="29D21ABB"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Figure 3 </w:t>
      </w:r>
      <w:r>
        <w:rPr>
          <w:rFonts w:asciiTheme="majorBidi" w:hAnsiTheme="majorBidi" w:cstheme="majorBidi"/>
          <w:sz w:val="28"/>
          <w:szCs w:val="28"/>
        </w:rPr>
        <w:t xml:space="preserve">shows the mechanism of </w:t>
      </w:r>
      <w:r>
        <w:rPr>
          <w:rFonts w:asciiTheme="majorBidi" w:hAnsiTheme="majorBidi" w:cstheme="majorBidi"/>
          <w:b/>
          <w:bCs/>
          <w:sz w:val="28"/>
          <w:szCs w:val="28"/>
        </w:rPr>
        <w:t>class I NR</w:t>
      </w:r>
      <w:r>
        <w:rPr>
          <w:rFonts w:asciiTheme="majorBidi" w:hAnsiTheme="majorBidi" w:cstheme="majorBidi"/>
          <w:sz w:val="28"/>
          <w:szCs w:val="28"/>
        </w:rPr>
        <w:t>:</w:t>
      </w:r>
    </w:p>
    <w:p w14:paraId="7C583958"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 </w:t>
      </w:r>
    </w:p>
    <w:p w14:paraId="5F9CD4C3" w14:textId="77777777" w:rsidR="00C42E14" w:rsidRDefault="00000000">
      <w:pPr>
        <w:spacing w:line="360" w:lineRule="auto"/>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5C4D047F" wp14:editId="11B251C8">
            <wp:extent cx="5912485" cy="3190875"/>
            <wp:effectExtent l="0" t="0" r="12065" b="9525"/>
            <wp:docPr id="1412097084" name="Pictur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97084"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912485" cy="3190875"/>
                    </a:xfrm>
                    <a:prstGeom prst="rect">
                      <a:avLst/>
                    </a:prstGeom>
                    <a:noFill/>
                    <a:ln>
                      <a:noFill/>
                    </a:ln>
                  </pic:spPr>
                </pic:pic>
              </a:graphicData>
            </a:graphic>
          </wp:inline>
        </w:drawing>
      </w:r>
    </w:p>
    <w:p w14:paraId="1E9B16FB"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 </w:t>
      </w:r>
    </w:p>
    <w:p w14:paraId="3ECD625E" w14:textId="77777777" w:rsidR="00C42E1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Figure 3. Mechanism of class I nuclear receptor action</w:t>
      </w:r>
      <w:r>
        <w:rPr>
          <w:rFonts w:asciiTheme="majorBidi" w:hAnsiTheme="majorBidi" w:cstheme="majorBidi"/>
          <w:sz w:val="28"/>
          <w:szCs w:val="28"/>
        </w:rPr>
        <w:t xml:space="preserve">. </w:t>
      </w:r>
    </w:p>
    <w:p w14:paraId="6843790D"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A </w:t>
      </w:r>
      <w:r>
        <w:rPr>
          <w:rFonts w:asciiTheme="majorBidi" w:hAnsiTheme="majorBidi" w:cstheme="majorBidi"/>
          <w:b/>
          <w:bCs/>
          <w:sz w:val="28"/>
          <w:szCs w:val="28"/>
        </w:rPr>
        <w:t>class I</w:t>
      </w:r>
      <w:r>
        <w:rPr>
          <w:rFonts w:asciiTheme="majorBidi" w:hAnsiTheme="majorBidi" w:cstheme="majorBidi"/>
          <w:sz w:val="28"/>
          <w:szCs w:val="28"/>
        </w:rPr>
        <w:t xml:space="preserve"> nuclear receptor (NR), </w:t>
      </w:r>
      <w:r>
        <w:rPr>
          <w:rFonts w:asciiTheme="majorBidi" w:hAnsiTheme="majorBidi" w:cstheme="majorBidi"/>
          <w:b/>
          <w:bCs/>
          <w:sz w:val="28"/>
          <w:szCs w:val="28"/>
          <w:u w:val="single"/>
        </w:rPr>
        <w:t xml:space="preserve">in the absence of </w:t>
      </w:r>
      <w:hyperlink r:id="rId9" w:tooltip="Ligand (biochemistry)" w:history="1">
        <w:r>
          <w:rPr>
            <w:rStyle w:val="Hyperlink"/>
            <w:rFonts w:asciiTheme="majorBidi" w:hAnsiTheme="majorBidi" w:cstheme="majorBidi"/>
            <w:b/>
            <w:bCs/>
            <w:color w:val="auto"/>
            <w:sz w:val="28"/>
            <w:szCs w:val="28"/>
          </w:rPr>
          <w:t>ligand</w:t>
        </w:r>
      </w:hyperlink>
      <w:r>
        <w:rPr>
          <w:rFonts w:asciiTheme="majorBidi" w:hAnsiTheme="majorBidi" w:cstheme="majorBidi"/>
          <w:sz w:val="28"/>
          <w:szCs w:val="28"/>
        </w:rPr>
        <w:t xml:space="preserve">, is located in the </w:t>
      </w:r>
      <w:hyperlink r:id="rId10" w:tooltip="Cytosol" w:history="1">
        <w:r>
          <w:rPr>
            <w:rStyle w:val="Hyperlink"/>
            <w:rFonts w:asciiTheme="majorBidi" w:hAnsiTheme="majorBidi" w:cstheme="majorBidi"/>
            <w:b/>
            <w:bCs/>
            <w:color w:val="auto"/>
            <w:sz w:val="28"/>
            <w:szCs w:val="28"/>
            <w:u w:val="none"/>
          </w:rPr>
          <w:t>cytosol</w:t>
        </w:r>
      </w:hyperlink>
      <w:r>
        <w:rPr>
          <w:rFonts w:asciiTheme="majorBidi" w:hAnsiTheme="majorBidi" w:cstheme="majorBidi"/>
          <w:sz w:val="28"/>
          <w:szCs w:val="28"/>
        </w:rPr>
        <w:t>. Example of ligands Glucocorticoids, Estrogen, Progesterone, and Androgens.</w:t>
      </w:r>
    </w:p>
    <w:p w14:paraId="7F87DDCE"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28"/>
          <w:szCs w:val="28"/>
        </w:rPr>
        <w:t xml:space="preserve">  Hormone binding to the NR</w:t>
      </w:r>
      <w:r>
        <w:rPr>
          <w:rFonts w:asciiTheme="majorBidi" w:hAnsiTheme="majorBidi" w:cstheme="majorBidi"/>
          <w:sz w:val="28"/>
          <w:szCs w:val="28"/>
        </w:rPr>
        <w:t xml:space="preserve"> triggers dissociation of heat shock proteins (</w:t>
      </w:r>
      <w:hyperlink r:id="rId11" w:tooltip="Heat shock protein" w:history="1">
        <w:r>
          <w:rPr>
            <w:rStyle w:val="Hyperlink"/>
            <w:rFonts w:asciiTheme="majorBidi" w:hAnsiTheme="majorBidi" w:cstheme="majorBidi"/>
            <w:color w:val="auto"/>
            <w:sz w:val="28"/>
            <w:szCs w:val="28"/>
            <w:u w:val="none"/>
          </w:rPr>
          <w:t>HSP</w:t>
        </w:r>
      </w:hyperlink>
      <w:r>
        <w:rPr>
          <w:rFonts w:asciiTheme="majorBidi" w:hAnsiTheme="majorBidi" w:cstheme="majorBidi"/>
          <w:sz w:val="28"/>
          <w:szCs w:val="28"/>
        </w:rPr>
        <w:t xml:space="preserve">), dimerization, and </w:t>
      </w:r>
      <w:hyperlink r:id="rId12" w:tooltip="Protein targeting" w:history="1">
        <w:r>
          <w:rPr>
            <w:rStyle w:val="Hyperlink"/>
            <w:rFonts w:asciiTheme="majorBidi" w:hAnsiTheme="majorBidi" w:cstheme="majorBidi"/>
            <w:color w:val="auto"/>
            <w:sz w:val="28"/>
            <w:szCs w:val="28"/>
            <w:u w:val="none"/>
          </w:rPr>
          <w:t>translocation</w:t>
        </w:r>
      </w:hyperlink>
      <w:r>
        <w:rPr>
          <w:rFonts w:asciiTheme="majorBidi" w:hAnsiTheme="majorBidi" w:cstheme="majorBidi"/>
          <w:sz w:val="28"/>
          <w:szCs w:val="28"/>
        </w:rPr>
        <w:t xml:space="preserve"> to the nucleus, where the NR binds to a specific sequence of </w:t>
      </w:r>
      <w:hyperlink r:id="rId13" w:tooltip="DNA" w:history="1">
        <w:r>
          <w:rPr>
            <w:rStyle w:val="Hyperlink"/>
            <w:rFonts w:asciiTheme="majorBidi" w:hAnsiTheme="majorBidi" w:cstheme="majorBidi"/>
            <w:color w:val="auto"/>
            <w:sz w:val="28"/>
            <w:szCs w:val="28"/>
            <w:u w:val="none"/>
          </w:rPr>
          <w:t>DNA</w:t>
        </w:r>
      </w:hyperlink>
      <w:r>
        <w:rPr>
          <w:rFonts w:asciiTheme="majorBidi" w:hAnsiTheme="majorBidi" w:cstheme="majorBidi"/>
          <w:sz w:val="28"/>
          <w:szCs w:val="28"/>
        </w:rPr>
        <w:t xml:space="preserve"> known as a hormone response element (</w:t>
      </w:r>
      <w:hyperlink r:id="rId14" w:tooltip="Hormone response element" w:history="1">
        <w:r>
          <w:rPr>
            <w:rStyle w:val="Hyperlink"/>
            <w:rFonts w:asciiTheme="majorBidi" w:hAnsiTheme="majorBidi" w:cstheme="majorBidi"/>
            <w:color w:val="auto"/>
            <w:sz w:val="28"/>
            <w:szCs w:val="28"/>
            <w:u w:val="none"/>
          </w:rPr>
          <w:t>HRE</w:t>
        </w:r>
      </w:hyperlink>
      <w:r>
        <w:rPr>
          <w:rFonts w:asciiTheme="majorBidi" w:hAnsiTheme="majorBidi" w:cstheme="majorBidi"/>
          <w:sz w:val="28"/>
          <w:szCs w:val="28"/>
        </w:rPr>
        <w:t xml:space="preserve">). In turn, the nuclear receptor DNA complex recruits other </w:t>
      </w:r>
      <w:hyperlink r:id="rId15" w:tooltip="Protein" w:history="1">
        <w:r>
          <w:rPr>
            <w:rStyle w:val="Hyperlink"/>
            <w:rFonts w:asciiTheme="majorBidi" w:hAnsiTheme="majorBidi" w:cstheme="majorBidi"/>
            <w:color w:val="auto"/>
            <w:sz w:val="28"/>
            <w:szCs w:val="28"/>
            <w:u w:val="none"/>
          </w:rPr>
          <w:t>proteins</w:t>
        </w:r>
      </w:hyperlink>
      <w:r>
        <w:rPr>
          <w:rFonts w:asciiTheme="majorBidi" w:hAnsiTheme="majorBidi" w:cstheme="majorBidi"/>
          <w:sz w:val="28"/>
          <w:szCs w:val="28"/>
        </w:rPr>
        <w:t xml:space="preserve"> that are responsible for </w:t>
      </w:r>
      <w:hyperlink r:id="rId16" w:tooltip="Transcription (genetics)" w:history="1">
        <w:r>
          <w:rPr>
            <w:rStyle w:val="Hyperlink"/>
            <w:rFonts w:asciiTheme="majorBidi" w:hAnsiTheme="majorBidi" w:cstheme="majorBidi"/>
            <w:color w:val="auto"/>
            <w:sz w:val="28"/>
            <w:szCs w:val="28"/>
            <w:u w:val="none"/>
          </w:rPr>
          <w:t>transcription</w:t>
        </w:r>
      </w:hyperlink>
      <w:r>
        <w:rPr>
          <w:rFonts w:asciiTheme="majorBidi" w:hAnsiTheme="majorBidi" w:cstheme="majorBidi"/>
          <w:sz w:val="28"/>
          <w:szCs w:val="28"/>
        </w:rPr>
        <w:t xml:space="preserve"> of downstream DNA into </w:t>
      </w:r>
      <w:hyperlink r:id="rId17" w:tooltip="Messenger RNA" w:history="1">
        <w:r>
          <w:rPr>
            <w:rStyle w:val="Hyperlink"/>
            <w:rFonts w:asciiTheme="majorBidi" w:hAnsiTheme="majorBidi" w:cstheme="majorBidi"/>
            <w:color w:val="auto"/>
            <w:sz w:val="28"/>
            <w:szCs w:val="28"/>
            <w:u w:val="none"/>
          </w:rPr>
          <w:t>mRNA</w:t>
        </w:r>
      </w:hyperlink>
      <w:r>
        <w:rPr>
          <w:rFonts w:asciiTheme="majorBidi" w:hAnsiTheme="majorBidi" w:cstheme="majorBidi"/>
          <w:sz w:val="28"/>
          <w:szCs w:val="28"/>
        </w:rPr>
        <w:t>, which is eventually translated into protein, which results in a change in cell function.</w:t>
      </w:r>
    </w:p>
    <w:p w14:paraId="1A55323B"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The Estrogen Receptor (ER) [Class I NR]</w:t>
      </w:r>
    </w:p>
    <w:p w14:paraId="5174C7CA"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The estrogen receptor (ER) is perhaps the most well-defined NR system from the point of view of biologic responses and clinical implications; and, there are 2 subtypes of the ER (ERα and ERβ), which are products of distinct genes but show differences in tissue expression. </w:t>
      </w:r>
    </w:p>
    <w:p w14:paraId="08217FBB" w14:textId="77777777" w:rsidR="00C42E14" w:rsidRDefault="00000000">
      <w:pPr>
        <w:spacing w:line="360" w:lineRule="auto"/>
        <w:ind w:firstLineChars="100" w:firstLine="280"/>
        <w:rPr>
          <w:rFonts w:asciiTheme="majorBidi" w:hAnsiTheme="majorBidi" w:cstheme="majorBidi"/>
          <w:sz w:val="28"/>
          <w:szCs w:val="28"/>
        </w:rPr>
      </w:pPr>
      <w:r>
        <w:rPr>
          <w:rFonts w:asciiTheme="majorBidi" w:hAnsiTheme="majorBidi" w:cstheme="majorBidi"/>
          <w:sz w:val="28"/>
          <w:szCs w:val="28"/>
        </w:rPr>
        <w:t xml:space="preserve">Although quite similar in structure, the two ER subtypes display structural differences and can mediate overlapping but different sets of biologic functions. However, it is also clear that ERβ can substitute for ERα in some biologic pathways. Furthermore, ERβ can interact with the same ERE as ERα, and the two ER subtypes can also form heterodimers, indicating that in cells that express both ER subtypes, the ratio of the two will affect estrogen action. </w:t>
      </w:r>
    </w:p>
    <w:p w14:paraId="082DD944" w14:textId="77777777" w:rsidR="00C42E1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NOTE</w:t>
      </w:r>
      <w:r>
        <w:rPr>
          <w:rFonts w:asciiTheme="majorBidi" w:hAnsiTheme="majorBidi" w:cstheme="majorBidi"/>
          <w:sz w:val="28"/>
          <w:szCs w:val="28"/>
        </w:rPr>
        <w:t xml:space="preserve">: </w:t>
      </w:r>
      <w:r>
        <w:rPr>
          <w:rFonts w:asciiTheme="majorBidi" w:hAnsiTheme="majorBidi" w:cstheme="majorBidi"/>
          <w:b/>
          <w:bCs/>
          <w:sz w:val="28"/>
          <w:szCs w:val="28"/>
        </w:rPr>
        <w:t>Genomic</w:t>
      </w:r>
      <w:r>
        <w:rPr>
          <w:rFonts w:asciiTheme="majorBidi" w:hAnsiTheme="majorBidi" w:cstheme="majorBidi"/>
          <w:sz w:val="28"/>
          <w:szCs w:val="28"/>
        </w:rPr>
        <w:t xml:space="preserve"> actions of ERs can also be exerted in the absence of direct DNA binding by mechanisms in which liganded ERs interact directly with other transcription factors such as Fos and Jun (pro-oncogenes), influencing their function at AP-1 sites. In addition, it has now been proposed that estrogens can exert </w:t>
      </w:r>
      <w:r>
        <w:rPr>
          <w:rFonts w:asciiTheme="majorBidi" w:hAnsiTheme="majorBidi" w:cstheme="majorBidi"/>
          <w:b/>
          <w:bCs/>
          <w:i/>
          <w:iCs/>
          <w:sz w:val="28"/>
          <w:szCs w:val="28"/>
        </w:rPr>
        <w:t>non-genomic effects</w:t>
      </w:r>
      <w:r>
        <w:rPr>
          <w:rFonts w:asciiTheme="majorBidi" w:hAnsiTheme="majorBidi" w:cstheme="majorBidi"/>
          <w:sz w:val="28"/>
          <w:szCs w:val="28"/>
        </w:rPr>
        <w:t xml:space="preserve"> by binding to plasma membrane receptors that directly mediate biologic responses.   </w:t>
      </w:r>
    </w:p>
    <w:p w14:paraId="61F4BF3F"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Selective estrogen-receptor modulators (SERMs)</w:t>
      </w:r>
    </w:p>
    <w:p w14:paraId="0559C0E9"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The SERMs are a class of compounds that act on the ER; where, their action is different in various tissues, thereby giving the possibility to selectively inhibit or stimulate estrogen-like action in various tissues. </w:t>
      </w:r>
    </w:p>
    <w:p w14:paraId="5F4A6922"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The SERMs are used dependent on their pattern of action in various tissues:</w:t>
      </w:r>
    </w:p>
    <w:tbl>
      <w:tblPr>
        <w:tblW w:w="0" w:type="auto"/>
        <w:tblCellSpacing w:w="15" w:type="dxa"/>
        <w:tblInd w:w="9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76"/>
        <w:gridCol w:w="3629"/>
        <w:gridCol w:w="2835"/>
      </w:tblGrid>
      <w:tr w:rsidR="00C42E14" w14:paraId="61A54A3F" w14:textId="77777777">
        <w:trPr>
          <w:tblCellSpacing w:w="15" w:type="dxa"/>
        </w:trPr>
        <w:tc>
          <w:tcPr>
            <w:tcW w:w="16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4B029EC"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Name</w:t>
            </w:r>
          </w:p>
        </w:tc>
        <w:tc>
          <w:tcPr>
            <w:tcW w:w="359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5452424"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Effects/location</w:t>
            </w:r>
          </w:p>
        </w:tc>
        <w:tc>
          <w:tcPr>
            <w:tcW w:w="2790" w:type="dxa"/>
            <w:tcBorders>
              <w:top w:val="outset" w:sz="6" w:space="0" w:color="auto"/>
              <w:left w:val="outset" w:sz="6" w:space="0" w:color="auto"/>
              <w:bottom w:val="outset" w:sz="6" w:space="0" w:color="auto"/>
              <w:right w:val="outset" w:sz="6" w:space="0" w:color="auto"/>
            </w:tcBorders>
          </w:tcPr>
          <w:p w14:paraId="38885803" w14:textId="77777777" w:rsidR="00C42E14" w:rsidRDefault="00000000">
            <w:pPr>
              <w:spacing w:line="360" w:lineRule="auto"/>
              <w:rPr>
                <w:rFonts w:asciiTheme="majorBidi" w:hAnsiTheme="majorBidi" w:cstheme="majorBidi"/>
                <w:b/>
                <w:bCs/>
                <w:sz w:val="28"/>
                <w:szCs w:val="28"/>
              </w:rPr>
            </w:pPr>
            <w:r>
              <w:rPr>
                <w:rFonts w:asciiTheme="majorBidi" w:hAnsiTheme="majorBidi" w:cstheme="majorBidi"/>
                <w:b/>
                <w:bCs/>
                <w:sz w:val="28"/>
                <w:szCs w:val="28"/>
              </w:rPr>
              <w:t>Uses</w:t>
            </w:r>
          </w:p>
        </w:tc>
      </w:tr>
      <w:tr w:rsidR="00C42E14" w14:paraId="12591234" w14:textId="77777777">
        <w:trPr>
          <w:tblCellSpacing w:w="15" w:type="dxa"/>
        </w:trPr>
        <w:tc>
          <w:tcPr>
            <w:tcW w:w="16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1E46F4" w14:textId="77777777" w:rsidR="00C42E14" w:rsidRDefault="00000000">
            <w:pPr>
              <w:spacing w:line="360" w:lineRule="auto"/>
              <w:rPr>
                <w:rFonts w:asciiTheme="majorBidi" w:hAnsiTheme="majorBidi" w:cstheme="majorBidi"/>
                <w:sz w:val="28"/>
                <w:szCs w:val="28"/>
              </w:rPr>
            </w:pPr>
            <w:hyperlink r:id="rId18" w:tooltip="Clomifene" w:history="1">
              <w:r>
                <w:rPr>
                  <w:rStyle w:val="Hyperlink"/>
                  <w:rFonts w:asciiTheme="majorBidi" w:hAnsiTheme="majorBidi" w:cstheme="majorBidi"/>
                  <w:color w:val="auto"/>
                  <w:sz w:val="28"/>
                  <w:szCs w:val="28"/>
                  <w:u w:val="none"/>
                </w:rPr>
                <w:t>Clomiphene</w:t>
              </w:r>
            </w:hyperlink>
          </w:p>
        </w:tc>
        <w:tc>
          <w:tcPr>
            <w:tcW w:w="359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D94BFFB"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Antagonist at hypothalamus</w:t>
            </w:r>
          </w:p>
        </w:tc>
        <w:tc>
          <w:tcPr>
            <w:tcW w:w="2790" w:type="dxa"/>
            <w:tcBorders>
              <w:top w:val="outset" w:sz="6" w:space="0" w:color="auto"/>
              <w:left w:val="outset" w:sz="6" w:space="0" w:color="auto"/>
              <w:bottom w:val="outset" w:sz="6" w:space="0" w:color="auto"/>
              <w:right w:val="outset" w:sz="6" w:space="0" w:color="auto"/>
            </w:tcBorders>
          </w:tcPr>
          <w:p w14:paraId="3E95C2A5" w14:textId="77777777" w:rsidR="00C42E14" w:rsidRDefault="00000000">
            <w:pPr>
              <w:spacing w:line="360" w:lineRule="auto"/>
              <w:rPr>
                <w:rFonts w:asciiTheme="majorBidi" w:hAnsiTheme="majorBidi" w:cstheme="majorBidi"/>
                <w:sz w:val="28"/>
                <w:szCs w:val="28"/>
              </w:rPr>
            </w:pPr>
            <w:hyperlink r:id="rId19" w:tooltip="Anovulation" w:history="1">
              <w:r>
                <w:rPr>
                  <w:rStyle w:val="Hyperlink"/>
                  <w:rFonts w:asciiTheme="majorBidi" w:hAnsiTheme="majorBidi" w:cstheme="majorBidi"/>
                  <w:color w:val="auto"/>
                  <w:sz w:val="28"/>
                  <w:szCs w:val="28"/>
                  <w:u w:val="none"/>
                </w:rPr>
                <w:t>Anovulation</w:t>
              </w:r>
            </w:hyperlink>
          </w:p>
        </w:tc>
      </w:tr>
      <w:tr w:rsidR="00C42E14" w14:paraId="53A5A9C0" w14:textId="77777777">
        <w:trPr>
          <w:tblCellSpacing w:w="15" w:type="dxa"/>
        </w:trPr>
        <w:tc>
          <w:tcPr>
            <w:tcW w:w="16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E1C1BB2" w14:textId="77777777" w:rsidR="00C42E14" w:rsidRDefault="00000000">
            <w:pPr>
              <w:spacing w:line="360" w:lineRule="auto"/>
              <w:rPr>
                <w:rFonts w:asciiTheme="majorBidi" w:hAnsiTheme="majorBidi" w:cstheme="majorBidi"/>
                <w:sz w:val="28"/>
                <w:szCs w:val="28"/>
              </w:rPr>
            </w:pPr>
            <w:hyperlink r:id="rId20" w:tooltip="Femarelle" w:history="1">
              <w:r>
                <w:rPr>
                  <w:rStyle w:val="Hyperlink"/>
                  <w:rFonts w:asciiTheme="majorBidi" w:hAnsiTheme="majorBidi" w:cstheme="majorBidi"/>
                  <w:color w:val="auto"/>
                  <w:sz w:val="28"/>
                  <w:szCs w:val="28"/>
                  <w:u w:val="none"/>
                </w:rPr>
                <w:t>Femarelle</w:t>
              </w:r>
            </w:hyperlink>
          </w:p>
        </w:tc>
        <w:tc>
          <w:tcPr>
            <w:tcW w:w="359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75F6E75"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Agonist at brain and bone</w:t>
            </w:r>
          </w:p>
        </w:tc>
        <w:tc>
          <w:tcPr>
            <w:tcW w:w="2790" w:type="dxa"/>
            <w:tcBorders>
              <w:top w:val="outset" w:sz="6" w:space="0" w:color="auto"/>
              <w:left w:val="outset" w:sz="6" w:space="0" w:color="auto"/>
              <w:bottom w:val="outset" w:sz="6" w:space="0" w:color="auto"/>
              <w:right w:val="outset" w:sz="6" w:space="0" w:color="auto"/>
            </w:tcBorders>
          </w:tcPr>
          <w:p w14:paraId="431D3C78"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Managing </w:t>
            </w:r>
            <w:hyperlink r:id="rId21" w:tooltip="Menopause" w:history="1">
              <w:r>
                <w:rPr>
                  <w:rStyle w:val="Hyperlink"/>
                  <w:rFonts w:asciiTheme="majorBidi" w:hAnsiTheme="majorBidi" w:cstheme="majorBidi"/>
                  <w:color w:val="auto"/>
                  <w:sz w:val="28"/>
                  <w:szCs w:val="28"/>
                  <w:u w:val="none"/>
                </w:rPr>
                <w:t>menopause</w:t>
              </w:r>
            </w:hyperlink>
            <w:r>
              <w:rPr>
                <w:rFonts w:asciiTheme="majorBidi" w:hAnsiTheme="majorBidi" w:cstheme="majorBidi"/>
                <w:sz w:val="28"/>
                <w:szCs w:val="28"/>
              </w:rPr>
              <w:t xml:space="preserve"> symptoms, </w:t>
            </w:r>
            <w:hyperlink r:id="rId22" w:tooltip="Osteoporosis" w:history="1">
              <w:r>
                <w:rPr>
                  <w:rStyle w:val="Hyperlink"/>
                  <w:rFonts w:asciiTheme="majorBidi" w:hAnsiTheme="majorBidi" w:cstheme="majorBidi"/>
                  <w:color w:val="auto"/>
                  <w:sz w:val="28"/>
                  <w:szCs w:val="28"/>
                  <w:u w:val="none"/>
                </w:rPr>
                <w:t>osteoporosis</w:t>
              </w:r>
            </w:hyperlink>
          </w:p>
        </w:tc>
      </w:tr>
      <w:tr w:rsidR="00C42E14" w14:paraId="3B9E2547" w14:textId="77777777">
        <w:trPr>
          <w:tblCellSpacing w:w="15" w:type="dxa"/>
        </w:trPr>
        <w:tc>
          <w:tcPr>
            <w:tcW w:w="16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6E02A5" w14:textId="77777777" w:rsidR="00C42E14" w:rsidRDefault="00000000">
            <w:pPr>
              <w:spacing w:line="360" w:lineRule="auto"/>
              <w:rPr>
                <w:rFonts w:asciiTheme="majorBidi" w:hAnsiTheme="majorBidi" w:cstheme="majorBidi"/>
                <w:sz w:val="28"/>
                <w:szCs w:val="28"/>
              </w:rPr>
            </w:pPr>
            <w:hyperlink r:id="rId23" w:tooltip="Raloxifene" w:history="1">
              <w:r>
                <w:rPr>
                  <w:rStyle w:val="Hyperlink"/>
                  <w:rFonts w:asciiTheme="majorBidi" w:hAnsiTheme="majorBidi" w:cstheme="majorBidi"/>
                  <w:color w:val="auto"/>
                  <w:sz w:val="28"/>
                  <w:szCs w:val="28"/>
                  <w:u w:val="none"/>
                </w:rPr>
                <w:t>Raloxifene</w:t>
              </w:r>
            </w:hyperlink>
          </w:p>
        </w:tc>
        <w:tc>
          <w:tcPr>
            <w:tcW w:w="359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86829E4"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Agonist at bone; antagonist at breast.</w:t>
            </w:r>
          </w:p>
        </w:tc>
        <w:tc>
          <w:tcPr>
            <w:tcW w:w="2790" w:type="dxa"/>
            <w:tcBorders>
              <w:top w:val="outset" w:sz="6" w:space="0" w:color="auto"/>
              <w:left w:val="outset" w:sz="6" w:space="0" w:color="auto"/>
              <w:bottom w:val="outset" w:sz="6" w:space="0" w:color="auto"/>
              <w:right w:val="outset" w:sz="6" w:space="0" w:color="auto"/>
            </w:tcBorders>
          </w:tcPr>
          <w:p w14:paraId="0F1BE147" w14:textId="77777777" w:rsidR="00C42E14" w:rsidRDefault="00000000">
            <w:pPr>
              <w:spacing w:line="360" w:lineRule="auto"/>
              <w:rPr>
                <w:rFonts w:asciiTheme="majorBidi" w:hAnsiTheme="majorBidi" w:cstheme="majorBidi"/>
                <w:sz w:val="28"/>
                <w:szCs w:val="28"/>
              </w:rPr>
            </w:pPr>
            <w:hyperlink r:id="rId24" w:tooltip="Osteoporosis" w:history="1">
              <w:r>
                <w:rPr>
                  <w:rStyle w:val="Hyperlink"/>
                  <w:rFonts w:asciiTheme="majorBidi" w:hAnsiTheme="majorBidi" w:cstheme="majorBidi"/>
                  <w:color w:val="auto"/>
                  <w:sz w:val="28"/>
                  <w:szCs w:val="28"/>
                  <w:u w:val="none"/>
                </w:rPr>
                <w:t>Osteoporosis</w:t>
              </w:r>
            </w:hyperlink>
            <w:r>
              <w:rPr>
                <w:rFonts w:asciiTheme="majorBidi" w:hAnsiTheme="majorBidi" w:cstheme="majorBidi"/>
                <w:sz w:val="28"/>
                <w:szCs w:val="28"/>
              </w:rPr>
              <w:t xml:space="preserve">, </w:t>
            </w:r>
            <w:hyperlink r:id="rId25" w:tooltip="Breast cancer" w:history="1">
              <w:r>
                <w:rPr>
                  <w:rStyle w:val="Hyperlink"/>
                  <w:rFonts w:asciiTheme="majorBidi" w:hAnsiTheme="majorBidi" w:cstheme="majorBidi"/>
                  <w:color w:val="auto"/>
                  <w:sz w:val="28"/>
                  <w:szCs w:val="28"/>
                  <w:u w:val="none"/>
                </w:rPr>
                <w:t>breast cancer</w:t>
              </w:r>
            </w:hyperlink>
          </w:p>
        </w:tc>
      </w:tr>
      <w:tr w:rsidR="00C42E14" w14:paraId="6A4996CA" w14:textId="77777777">
        <w:trPr>
          <w:tblCellSpacing w:w="15" w:type="dxa"/>
        </w:trPr>
        <w:tc>
          <w:tcPr>
            <w:tcW w:w="16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08EF62" w14:textId="77777777" w:rsidR="00C42E14" w:rsidRDefault="00000000">
            <w:pPr>
              <w:spacing w:line="360" w:lineRule="auto"/>
              <w:rPr>
                <w:rFonts w:asciiTheme="majorBidi" w:hAnsiTheme="majorBidi" w:cstheme="majorBidi"/>
                <w:sz w:val="28"/>
                <w:szCs w:val="28"/>
              </w:rPr>
            </w:pPr>
            <w:hyperlink r:id="rId26" w:tooltip="Tamoxifen" w:history="1">
              <w:r>
                <w:rPr>
                  <w:rStyle w:val="Hyperlink"/>
                  <w:rFonts w:asciiTheme="majorBidi" w:hAnsiTheme="majorBidi" w:cstheme="majorBidi"/>
                  <w:color w:val="auto"/>
                  <w:sz w:val="28"/>
                  <w:szCs w:val="28"/>
                  <w:u w:val="none"/>
                </w:rPr>
                <w:t>Tamoxifen</w:t>
              </w:r>
            </w:hyperlink>
          </w:p>
        </w:tc>
        <w:tc>
          <w:tcPr>
            <w:tcW w:w="359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AD44D3C"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Agonist at bone and uterus, antagonist at breast</w:t>
            </w:r>
          </w:p>
        </w:tc>
        <w:tc>
          <w:tcPr>
            <w:tcW w:w="2790" w:type="dxa"/>
            <w:tcBorders>
              <w:top w:val="outset" w:sz="6" w:space="0" w:color="auto"/>
              <w:left w:val="outset" w:sz="6" w:space="0" w:color="auto"/>
              <w:bottom w:val="outset" w:sz="6" w:space="0" w:color="auto"/>
              <w:right w:val="outset" w:sz="6" w:space="0" w:color="auto"/>
            </w:tcBorders>
          </w:tcPr>
          <w:p w14:paraId="5DA3A6F9" w14:textId="77777777" w:rsidR="00C42E14" w:rsidRDefault="00000000">
            <w:pPr>
              <w:spacing w:line="360" w:lineRule="auto"/>
              <w:rPr>
                <w:rFonts w:asciiTheme="majorBidi" w:hAnsiTheme="majorBidi" w:cstheme="majorBidi"/>
                <w:sz w:val="28"/>
                <w:szCs w:val="28"/>
              </w:rPr>
            </w:pPr>
            <w:hyperlink r:id="rId27" w:tooltip="Breast cancer" w:history="1">
              <w:r>
                <w:rPr>
                  <w:rStyle w:val="Hyperlink"/>
                  <w:rFonts w:asciiTheme="majorBidi" w:hAnsiTheme="majorBidi" w:cstheme="majorBidi"/>
                  <w:color w:val="auto"/>
                  <w:sz w:val="28"/>
                  <w:szCs w:val="28"/>
                  <w:u w:val="none"/>
                </w:rPr>
                <w:t>Breast cancer</w:t>
              </w:r>
            </w:hyperlink>
          </w:p>
        </w:tc>
      </w:tr>
    </w:tbl>
    <w:p w14:paraId="242AB8A6"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w:t>
      </w:r>
    </w:p>
    <w:p w14:paraId="15FA760C"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Mechanism of action of estrogenic compounds:</w:t>
      </w:r>
    </w:p>
    <w:p w14:paraId="448F779C" w14:textId="77777777" w:rsidR="00C42E14" w:rsidRDefault="00000000">
      <w:pPr>
        <w:spacing w:line="360" w:lineRule="auto"/>
        <w:rPr>
          <w:rFonts w:asciiTheme="majorBidi" w:hAnsiTheme="majorBidi" w:cstheme="majorBidi"/>
          <w:sz w:val="28"/>
          <w:szCs w:val="28"/>
        </w:rPr>
      </w:pPr>
      <w:r>
        <w:rPr>
          <w:rFonts w:asciiTheme="majorBidi" w:hAnsiTheme="majorBidi" w:cstheme="majorBidi"/>
          <w:b/>
          <w:bCs/>
          <w:sz w:val="28"/>
          <w:szCs w:val="28"/>
        </w:rPr>
        <w:t>Estrogenic compounds</w:t>
      </w:r>
      <w:r>
        <w:rPr>
          <w:rFonts w:asciiTheme="majorBidi" w:hAnsiTheme="majorBidi" w:cstheme="majorBidi"/>
          <w:sz w:val="28"/>
          <w:szCs w:val="28"/>
        </w:rPr>
        <w:t xml:space="preserve"> span a spectrum of activity ranging from:</w:t>
      </w:r>
    </w:p>
    <w:p w14:paraId="4EEC7FED" w14:textId="77777777" w:rsidR="00C42E14" w:rsidRDefault="00000000">
      <w:pPr>
        <w:numPr>
          <w:ilvl w:val="0"/>
          <w:numId w:val="1"/>
        </w:numPr>
        <w:spacing w:line="360" w:lineRule="auto"/>
        <w:rPr>
          <w:rFonts w:asciiTheme="majorBidi" w:hAnsiTheme="majorBidi" w:cstheme="majorBidi"/>
          <w:sz w:val="28"/>
          <w:szCs w:val="28"/>
        </w:rPr>
      </w:pPr>
      <w:r>
        <w:rPr>
          <w:rFonts w:asciiTheme="majorBidi" w:hAnsiTheme="majorBidi" w:cstheme="majorBidi"/>
          <w:sz w:val="28"/>
          <w:szCs w:val="28"/>
        </w:rPr>
        <w:t xml:space="preserve">Full agonists (agonistic in all tissues) such as the natural endogenous hormone </w:t>
      </w:r>
      <w:hyperlink r:id="rId28" w:tooltip="Estrogen" w:history="1">
        <w:r>
          <w:rPr>
            <w:rStyle w:val="Hyperlink"/>
            <w:rFonts w:asciiTheme="majorBidi" w:hAnsiTheme="majorBidi" w:cstheme="majorBidi"/>
            <w:color w:val="auto"/>
            <w:sz w:val="28"/>
            <w:szCs w:val="28"/>
            <w:u w:val="none"/>
          </w:rPr>
          <w:t>estrogen</w:t>
        </w:r>
      </w:hyperlink>
      <w:r>
        <w:rPr>
          <w:rFonts w:asciiTheme="majorBidi" w:hAnsiTheme="majorBidi" w:cstheme="majorBidi"/>
          <w:sz w:val="28"/>
          <w:szCs w:val="28"/>
        </w:rPr>
        <w:t>.</w:t>
      </w:r>
    </w:p>
    <w:p w14:paraId="61F48249" w14:textId="77777777" w:rsidR="00C42E14" w:rsidRDefault="00000000">
      <w:pPr>
        <w:numPr>
          <w:ilvl w:val="0"/>
          <w:numId w:val="1"/>
        </w:numPr>
        <w:spacing w:line="360" w:lineRule="auto"/>
        <w:rPr>
          <w:rFonts w:asciiTheme="majorBidi" w:hAnsiTheme="majorBidi" w:cstheme="majorBidi"/>
          <w:sz w:val="28"/>
          <w:szCs w:val="28"/>
        </w:rPr>
      </w:pPr>
      <w:r>
        <w:rPr>
          <w:rFonts w:asciiTheme="majorBidi" w:hAnsiTheme="majorBidi" w:cstheme="majorBidi"/>
          <w:sz w:val="28"/>
          <w:szCs w:val="28"/>
        </w:rPr>
        <w:t>Mixed agonist/antagonistic (agonistic in some tissues while antagonist in others) such as tamoxifen (a SERM).</w:t>
      </w:r>
    </w:p>
    <w:p w14:paraId="7C370687" w14:textId="77777777" w:rsidR="00C42E14" w:rsidRDefault="00000000">
      <w:pPr>
        <w:numPr>
          <w:ilvl w:val="0"/>
          <w:numId w:val="1"/>
        </w:numPr>
        <w:spacing w:line="360" w:lineRule="auto"/>
        <w:rPr>
          <w:rFonts w:asciiTheme="majorBidi" w:hAnsiTheme="majorBidi" w:cstheme="majorBidi"/>
          <w:sz w:val="28"/>
          <w:szCs w:val="28"/>
        </w:rPr>
      </w:pPr>
      <w:r>
        <w:rPr>
          <w:rFonts w:asciiTheme="majorBidi" w:hAnsiTheme="majorBidi" w:cstheme="majorBidi"/>
          <w:sz w:val="28"/>
          <w:szCs w:val="28"/>
        </w:rPr>
        <w:t xml:space="preserve">Pure antagonists (antagonistic in all tissues) such as </w:t>
      </w:r>
      <w:hyperlink r:id="rId29" w:tooltip="Fulvestrant" w:history="1">
        <w:r>
          <w:rPr>
            <w:rStyle w:val="Hyperlink"/>
            <w:rFonts w:asciiTheme="majorBidi" w:hAnsiTheme="majorBidi" w:cstheme="majorBidi"/>
            <w:color w:val="auto"/>
            <w:sz w:val="28"/>
            <w:szCs w:val="28"/>
            <w:u w:val="none"/>
          </w:rPr>
          <w:t>fulvestrant</w:t>
        </w:r>
      </w:hyperlink>
      <w:r>
        <w:rPr>
          <w:rFonts w:asciiTheme="majorBidi" w:hAnsiTheme="majorBidi" w:cstheme="majorBidi"/>
          <w:sz w:val="28"/>
          <w:szCs w:val="28"/>
        </w:rPr>
        <w:t xml:space="preserve"> (ICI-182780).</w:t>
      </w:r>
    </w:p>
    <w:p w14:paraId="66026B57" w14:textId="77777777" w:rsidR="00C42E14" w:rsidRDefault="00000000">
      <w:pPr>
        <w:spacing w:line="360" w:lineRule="auto"/>
        <w:ind w:firstLineChars="100" w:firstLine="281"/>
        <w:rPr>
          <w:rFonts w:asciiTheme="majorBidi" w:hAnsiTheme="majorBidi" w:cstheme="majorBidi"/>
          <w:sz w:val="28"/>
          <w:szCs w:val="28"/>
        </w:rPr>
      </w:pPr>
      <w:r>
        <w:rPr>
          <w:rFonts w:asciiTheme="majorBidi" w:hAnsiTheme="majorBidi" w:cstheme="majorBidi"/>
          <w:b/>
          <w:bCs/>
          <w:sz w:val="28"/>
          <w:szCs w:val="28"/>
        </w:rPr>
        <w:t>Concerning SERM</w:t>
      </w:r>
      <w:r>
        <w:rPr>
          <w:rFonts w:asciiTheme="majorBidi" w:hAnsiTheme="majorBidi" w:cstheme="majorBidi"/>
          <w:sz w:val="28"/>
          <w:szCs w:val="28"/>
        </w:rPr>
        <w:t xml:space="preserve">, the mechanism of mixed agonism/antagonism may differ depending on the chemical structure of the intended class of the drugs, but, for at least for some SERMs, it appears to be related to (1) the ratio of </w:t>
      </w:r>
      <w:hyperlink r:id="rId30" w:tooltip="Coactivation (Transcription)" w:history="1">
        <w:r>
          <w:rPr>
            <w:rStyle w:val="Hyperlink"/>
            <w:rFonts w:asciiTheme="majorBidi" w:hAnsiTheme="majorBidi" w:cstheme="majorBidi"/>
            <w:color w:val="auto"/>
            <w:sz w:val="28"/>
            <w:szCs w:val="28"/>
            <w:u w:val="none"/>
          </w:rPr>
          <w:t>co-activator</w:t>
        </w:r>
      </w:hyperlink>
      <w:r>
        <w:rPr>
          <w:rFonts w:asciiTheme="majorBidi" w:hAnsiTheme="majorBidi" w:cstheme="majorBidi"/>
          <w:sz w:val="28"/>
          <w:szCs w:val="28"/>
        </w:rPr>
        <w:t xml:space="preserve"> to </w:t>
      </w:r>
      <w:hyperlink r:id="rId31" w:tooltip="Corepressor (genetics)" w:history="1">
        <w:r>
          <w:rPr>
            <w:rStyle w:val="Hyperlink"/>
            <w:rFonts w:asciiTheme="majorBidi" w:hAnsiTheme="majorBidi" w:cstheme="majorBidi"/>
            <w:color w:val="auto"/>
            <w:sz w:val="28"/>
            <w:szCs w:val="28"/>
            <w:u w:val="none"/>
          </w:rPr>
          <w:t>co-repressor</w:t>
        </w:r>
      </w:hyperlink>
      <w:r>
        <w:rPr>
          <w:rFonts w:asciiTheme="majorBidi" w:hAnsiTheme="majorBidi" w:cstheme="majorBidi"/>
          <w:sz w:val="28"/>
          <w:szCs w:val="28"/>
        </w:rPr>
        <w:t xml:space="preserve"> proteins in different cell types and (2) the </w:t>
      </w:r>
      <w:hyperlink r:id="rId32" w:tooltip="Tertiary structure" w:history="1">
        <w:r>
          <w:rPr>
            <w:rStyle w:val="Hyperlink"/>
            <w:rFonts w:asciiTheme="majorBidi" w:hAnsiTheme="majorBidi" w:cstheme="majorBidi"/>
            <w:color w:val="auto"/>
            <w:sz w:val="28"/>
            <w:szCs w:val="28"/>
            <w:u w:val="none"/>
          </w:rPr>
          <w:t>conformation</w:t>
        </w:r>
      </w:hyperlink>
      <w:r>
        <w:rPr>
          <w:rFonts w:asciiTheme="majorBidi" w:hAnsiTheme="majorBidi" w:cstheme="majorBidi"/>
          <w:sz w:val="28"/>
          <w:szCs w:val="28"/>
        </w:rPr>
        <w:t xml:space="preserve"> of the estrogen </w:t>
      </w:r>
      <w:r>
        <w:rPr>
          <w:rFonts w:asciiTheme="majorBidi" w:hAnsiTheme="majorBidi" w:cstheme="majorBidi"/>
          <w:sz w:val="28"/>
          <w:szCs w:val="28"/>
        </w:rPr>
        <w:lastRenderedPageBreak/>
        <w:t xml:space="preserve">receptor induced by drug binding, which in turn determines how strongly the drug/receptor complex recruits co-activators (resulting in an agonist response) relative to co-repressors (resulting in antagonism). </w:t>
      </w:r>
    </w:p>
    <w:p w14:paraId="05DCE404"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For example, the prototypical SERM </w:t>
      </w:r>
      <w:r>
        <w:rPr>
          <w:rFonts w:asciiTheme="majorBidi" w:hAnsiTheme="majorBidi" w:cstheme="majorBidi"/>
          <w:b/>
          <w:bCs/>
          <w:sz w:val="28"/>
          <w:szCs w:val="28"/>
        </w:rPr>
        <w:t>tamoxifen</w:t>
      </w:r>
      <w:r>
        <w:rPr>
          <w:rFonts w:asciiTheme="majorBidi" w:hAnsiTheme="majorBidi" w:cstheme="majorBidi"/>
          <w:sz w:val="28"/>
          <w:szCs w:val="28"/>
        </w:rPr>
        <w:t xml:space="preserve"> acts as an antagonist in breast and conversely an agonist in uterus and bone. The concentration of steroid receptor co-activator 1 (</w:t>
      </w:r>
      <w:hyperlink r:id="rId33" w:tooltip="SRC-1" w:history="1">
        <w:r>
          <w:rPr>
            <w:rStyle w:val="Hyperlink"/>
            <w:rFonts w:asciiTheme="majorBidi" w:hAnsiTheme="majorBidi" w:cstheme="majorBidi"/>
            <w:color w:val="auto"/>
            <w:sz w:val="28"/>
            <w:szCs w:val="28"/>
            <w:u w:val="none"/>
          </w:rPr>
          <w:t>SRC-1</w:t>
        </w:r>
      </w:hyperlink>
      <w:r>
        <w:rPr>
          <w:rFonts w:asciiTheme="majorBidi" w:hAnsiTheme="majorBidi" w:cstheme="majorBidi"/>
          <w:sz w:val="28"/>
          <w:szCs w:val="28"/>
        </w:rPr>
        <w:t xml:space="preserve">) is higher in uterus and bone than in breast, therefore SERMs such as </w:t>
      </w:r>
      <w:r>
        <w:rPr>
          <w:rFonts w:asciiTheme="majorBidi" w:hAnsiTheme="majorBidi" w:cstheme="majorBidi"/>
          <w:b/>
          <w:bCs/>
          <w:sz w:val="28"/>
          <w:szCs w:val="28"/>
        </w:rPr>
        <w:t>tamoxifen</w:t>
      </w:r>
      <w:r>
        <w:rPr>
          <w:rFonts w:asciiTheme="majorBidi" w:hAnsiTheme="majorBidi" w:cstheme="majorBidi"/>
          <w:sz w:val="28"/>
          <w:szCs w:val="28"/>
        </w:rPr>
        <w:t xml:space="preserve"> are more agonistic in uterus and bone than in breast. In contrast, </w:t>
      </w:r>
      <w:r>
        <w:rPr>
          <w:rFonts w:asciiTheme="majorBidi" w:hAnsiTheme="majorBidi" w:cstheme="majorBidi"/>
          <w:b/>
          <w:bCs/>
          <w:sz w:val="28"/>
          <w:szCs w:val="28"/>
        </w:rPr>
        <w:t>raloxifene</w:t>
      </w:r>
      <w:r>
        <w:rPr>
          <w:rFonts w:asciiTheme="majorBidi" w:hAnsiTheme="majorBidi" w:cstheme="majorBidi"/>
          <w:sz w:val="28"/>
          <w:szCs w:val="28"/>
        </w:rPr>
        <w:t xml:space="preserve"> behaves as an antagonist in the breast tissue; and it appears that </w:t>
      </w:r>
      <w:r>
        <w:rPr>
          <w:rFonts w:asciiTheme="majorBidi" w:hAnsiTheme="majorBidi" w:cstheme="majorBidi"/>
          <w:b/>
          <w:bCs/>
          <w:sz w:val="28"/>
          <w:szCs w:val="28"/>
        </w:rPr>
        <w:t>raloxifene</w:t>
      </w:r>
      <w:r>
        <w:rPr>
          <w:rFonts w:asciiTheme="majorBidi" w:hAnsiTheme="majorBidi" w:cstheme="majorBidi"/>
          <w:sz w:val="28"/>
          <w:szCs w:val="28"/>
        </w:rPr>
        <w:t xml:space="preserve"> is more-strongly recruits co-repressor proteins.</w:t>
      </w:r>
    </w:p>
    <w:p w14:paraId="06242727" w14:textId="77777777" w:rsidR="00C42E14" w:rsidRDefault="00000000">
      <w:pPr>
        <w:spacing w:line="360" w:lineRule="auto"/>
        <w:rPr>
          <w:rFonts w:asciiTheme="majorBidi" w:hAnsiTheme="majorBidi" w:cstheme="majorBidi"/>
          <w:b/>
          <w:bCs/>
          <w:sz w:val="32"/>
          <w:szCs w:val="32"/>
        </w:rPr>
      </w:pPr>
      <w:r>
        <w:rPr>
          <w:rFonts w:asciiTheme="majorBidi" w:hAnsiTheme="majorBidi" w:cstheme="majorBidi"/>
          <w:b/>
          <w:bCs/>
          <w:sz w:val="32"/>
          <w:szCs w:val="32"/>
        </w:rPr>
        <w:t>Actions of Selective Estrogen Receptor Modulators (SERMs)</w:t>
      </w:r>
    </w:p>
    <w:p w14:paraId="33FEB166"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The actions of </w:t>
      </w:r>
      <w:r>
        <w:rPr>
          <w:rFonts w:asciiTheme="majorBidi" w:hAnsiTheme="majorBidi" w:cstheme="majorBidi"/>
          <w:b/>
          <w:bCs/>
          <w:sz w:val="28"/>
          <w:szCs w:val="28"/>
        </w:rPr>
        <w:t>SERMs</w:t>
      </w:r>
      <w:r>
        <w:rPr>
          <w:rFonts w:asciiTheme="majorBidi" w:hAnsiTheme="majorBidi" w:cstheme="majorBidi"/>
          <w:sz w:val="28"/>
          <w:szCs w:val="28"/>
        </w:rPr>
        <w:t xml:space="preserve"> on various tissues; and produce the following:</w:t>
      </w:r>
    </w:p>
    <w:p w14:paraId="4CE872AA"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1- </w:t>
      </w:r>
      <w:hyperlink r:id="rId34" w:tooltip="Bone" w:history="1">
        <w:r>
          <w:rPr>
            <w:rStyle w:val="Hyperlink"/>
            <w:rFonts w:asciiTheme="majorBidi" w:hAnsiTheme="majorBidi" w:cstheme="majorBidi"/>
            <w:color w:val="auto"/>
            <w:sz w:val="28"/>
            <w:szCs w:val="28"/>
            <w:u w:val="none"/>
          </w:rPr>
          <w:t>Bone</w:t>
        </w:r>
      </w:hyperlink>
      <w:r>
        <w:rPr>
          <w:rFonts w:asciiTheme="majorBidi" w:hAnsiTheme="majorBidi" w:cstheme="majorBidi"/>
          <w:sz w:val="28"/>
          <w:szCs w:val="28"/>
        </w:rPr>
        <w:t xml:space="preserve"> turnover and post-menopausal </w:t>
      </w:r>
      <w:hyperlink r:id="rId35" w:tooltip="Osteoporosis" w:history="1">
        <w:r>
          <w:rPr>
            <w:rStyle w:val="Hyperlink"/>
            <w:rFonts w:asciiTheme="majorBidi" w:hAnsiTheme="majorBidi" w:cstheme="majorBidi"/>
            <w:color w:val="auto"/>
            <w:sz w:val="28"/>
            <w:szCs w:val="28"/>
            <w:u w:val="none"/>
          </w:rPr>
          <w:t>osteoporosis</w:t>
        </w:r>
      </w:hyperlink>
      <w:r>
        <w:rPr>
          <w:rFonts w:asciiTheme="majorBidi" w:hAnsiTheme="majorBidi" w:cstheme="majorBidi"/>
          <w:sz w:val="28"/>
          <w:szCs w:val="28"/>
        </w:rPr>
        <w:t xml:space="preserve"> respond favorably to most SERMs, although premenopausal women may experience bone loss with some SERMs including </w:t>
      </w:r>
      <w:r>
        <w:rPr>
          <w:rFonts w:asciiTheme="majorBidi" w:hAnsiTheme="majorBidi" w:cstheme="majorBidi"/>
          <w:b/>
          <w:bCs/>
          <w:sz w:val="28"/>
          <w:szCs w:val="28"/>
        </w:rPr>
        <w:t>tamoxifen</w:t>
      </w:r>
      <w:r>
        <w:rPr>
          <w:rFonts w:asciiTheme="majorBidi" w:hAnsiTheme="majorBidi" w:cstheme="majorBidi"/>
          <w:sz w:val="28"/>
          <w:szCs w:val="28"/>
        </w:rPr>
        <w:t>.</w:t>
      </w:r>
    </w:p>
    <w:p w14:paraId="0C83D115"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2- </w:t>
      </w:r>
      <w:hyperlink r:id="rId36" w:tooltip="Breast" w:history="1">
        <w:r>
          <w:rPr>
            <w:rStyle w:val="Hyperlink"/>
            <w:rFonts w:asciiTheme="majorBidi" w:hAnsiTheme="majorBidi" w:cstheme="majorBidi"/>
            <w:color w:val="auto"/>
            <w:sz w:val="28"/>
            <w:szCs w:val="28"/>
            <w:u w:val="none"/>
          </w:rPr>
          <w:t>Breast</w:t>
        </w:r>
      </w:hyperlink>
      <w:r>
        <w:rPr>
          <w:rFonts w:asciiTheme="majorBidi" w:hAnsiTheme="majorBidi" w:cstheme="majorBidi"/>
          <w:sz w:val="28"/>
          <w:szCs w:val="28"/>
        </w:rPr>
        <w:t xml:space="preserve">: </w:t>
      </w:r>
      <w:r>
        <w:rPr>
          <w:rFonts w:asciiTheme="majorBidi" w:hAnsiTheme="majorBidi" w:cstheme="majorBidi"/>
          <w:b/>
          <w:bCs/>
          <w:sz w:val="28"/>
          <w:szCs w:val="28"/>
        </w:rPr>
        <w:t>All SERMs</w:t>
      </w:r>
      <w:r>
        <w:rPr>
          <w:rFonts w:asciiTheme="majorBidi" w:hAnsiTheme="majorBidi" w:cstheme="majorBidi"/>
          <w:sz w:val="28"/>
          <w:szCs w:val="28"/>
        </w:rPr>
        <w:t xml:space="preserve"> reduce the risk of breast cancer, and </w:t>
      </w:r>
      <w:r>
        <w:rPr>
          <w:rFonts w:asciiTheme="majorBidi" w:hAnsiTheme="majorBidi" w:cstheme="majorBidi"/>
          <w:b/>
          <w:bCs/>
          <w:sz w:val="28"/>
          <w:szCs w:val="28"/>
        </w:rPr>
        <w:t>tamoxifen</w:t>
      </w:r>
      <w:r>
        <w:rPr>
          <w:rFonts w:asciiTheme="majorBidi" w:hAnsiTheme="majorBidi" w:cstheme="majorBidi"/>
          <w:sz w:val="28"/>
          <w:szCs w:val="28"/>
        </w:rPr>
        <w:t xml:space="preserve"> is mainly used for its ability to inhibit growth in estrogen receptor (ER)-positive breast cancer.</w:t>
      </w:r>
    </w:p>
    <w:p w14:paraId="37F8C6A1"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3- </w:t>
      </w:r>
      <w:hyperlink r:id="rId37" w:tooltip="Cholesterol" w:history="1">
        <w:r>
          <w:rPr>
            <w:rStyle w:val="Hyperlink"/>
            <w:rFonts w:asciiTheme="majorBidi" w:hAnsiTheme="majorBidi" w:cstheme="majorBidi"/>
            <w:color w:val="auto"/>
            <w:sz w:val="28"/>
            <w:szCs w:val="28"/>
            <w:u w:val="none"/>
          </w:rPr>
          <w:t>Cholesterol</w:t>
        </w:r>
      </w:hyperlink>
      <w:r>
        <w:rPr>
          <w:rFonts w:asciiTheme="majorBidi" w:hAnsiTheme="majorBidi" w:cstheme="majorBidi"/>
          <w:sz w:val="28"/>
          <w:szCs w:val="28"/>
        </w:rPr>
        <w:t xml:space="preserve"> and </w:t>
      </w:r>
      <w:hyperlink r:id="rId38" w:tooltip="Triglyceride" w:history="1">
        <w:r>
          <w:rPr>
            <w:rStyle w:val="Hyperlink"/>
            <w:rFonts w:asciiTheme="majorBidi" w:hAnsiTheme="majorBidi" w:cstheme="majorBidi"/>
            <w:color w:val="auto"/>
            <w:sz w:val="28"/>
            <w:szCs w:val="28"/>
            <w:u w:val="none"/>
          </w:rPr>
          <w:t>triglycerides</w:t>
        </w:r>
      </w:hyperlink>
      <w:r>
        <w:rPr>
          <w:rFonts w:asciiTheme="majorBidi" w:hAnsiTheme="majorBidi" w:cstheme="majorBidi"/>
          <w:sz w:val="28"/>
          <w:szCs w:val="28"/>
        </w:rPr>
        <w:t xml:space="preserve"> levels respond favorably to </w:t>
      </w:r>
      <w:proofErr w:type="gramStart"/>
      <w:r>
        <w:rPr>
          <w:rFonts w:asciiTheme="majorBidi" w:hAnsiTheme="majorBidi" w:cstheme="majorBidi"/>
          <w:sz w:val="28"/>
          <w:szCs w:val="28"/>
        </w:rPr>
        <w:t>SERMs ???</w:t>
      </w:r>
      <w:proofErr w:type="gramEnd"/>
    </w:p>
    <w:p w14:paraId="5DE8EA93"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4- </w:t>
      </w:r>
      <w:hyperlink r:id="rId39" w:tooltip="Deep venous thrombosis" w:history="1">
        <w:r>
          <w:rPr>
            <w:rStyle w:val="Hyperlink"/>
            <w:rFonts w:asciiTheme="majorBidi" w:hAnsiTheme="majorBidi" w:cstheme="majorBidi"/>
            <w:color w:val="auto"/>
            <w:sz w:val="28"/>
            <w:szCs w:val="28"/>
            <w:u w:val="none"/>
          </w:rPr>
          <w:t>Deep venous thrombosis</w:t>
        </w:r>
      </w:hyperlink>
      <w:r>
        <w:rPr>
          <w:rFonts w:asciiTheme="majorBidi" w:hAnsiTheme="majorBidi" w:cstheme="majorBidi"/>
          <w:sz w:val="28"/>
          <w:szCs w:val="28"/>
        </w:rPr>
        <w:t xml:space="preserve"> (DVT): The risk may be elevated in at least some SERMs.</w:t>
      </w:r>
    </w:p>
    <w:p w14:paraId="4B7BEC4F"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5 - </w:t>
      </w:r>
      <w:hyperlink r:id="rId40" w:tooltip="Hot flash" w:history="1">
        <w:r>
          <w:rPr>
            <w:rStyle w:val="Hyperlink"/>
            <w:rFonts w:asciiTheme="majorBidi" w:hAnsiTheme="majorBidi" w:cstheme="majorBidi"/>
            <w:color w:val="auto"/>
            <w:sz w:val="28"/>
            <w:szCs w:val="28"/>
            <w:u w:val="none"/>
          </w:rPr>
          <w:t>Hot flashes</w:t>
        </w:r>
      </w:hyperlink>
      <w:r>
        <w:rPr>
          <w:rFonts w:asciiTheme="majorBidi" w:hAnsiTheme="majorBidi" w:cstheme="majorBidi"/>
          <w:sz w:val="28"/>
          <w:szCs w:val="28"/>
        </w:rPr>
        <w:t xml:space="preserve"> are increased by some SERMs.</w:t>
      </w:r>
    </w:p>
    <w:p w14:paraId="6C25638B" w14:textId="77777777" w:rsidR="00C42E14" w:rsidRDefault="00000000">
      <w:pPr>
        <w:spacing w:line="360" w:lineRule="auto"/>
        <w:rPr>
          <w:rFonts w:asciiTheme="majorBidi" w:hAnsiTheme="majorBidi" w:cstheme="majorBidi"/>
          <w:sz w:val="28"/>
          <w:szCs w:val="28"/>
        </w:rPr>
      </w:pPr>
      <w:r>
        <w:rPr>
          <w:rFonts w:asciiTheme="majorBidi" w:hAnsiTheme="majorBidi" w:cstheme="majorBidi"/>
          <w:sz w:val="28"/>
          <w:szCs w:val="28"/>
        </w:rPr>
        <w:t xml:space="preserve"> 6- </w:t>
      </w:r>
      <w:hyperlink r:id="rId41" w:tooltip="Pituitary gland" w:history="1">
        <w:r>
          <w:rPr>
            <w:rStyle w:val="Hyperlink"/>
            <w:rFonts w:asciiTheme="majorBidi" w:hAnsiTheme="majorBidi" w:cstheme="majorBidi"/>
            <w:color w:val="auto"/>
            <w:sz w:val="28"/>
            <w:szCs w:val="28"/>
            <w:u w:val="none"/>
          </w:rPr>
          <w:t>Pituitary gland</w:t>
        </w:r>
      </w:hyperlink>
      <w:r>
        <w:rPr>
          <w:rFonts w:asciiTheme="majorBidi" w:hAnsiTheme="majorBidi" w:cstheme="majorBidi"/>
          <w:sz w:val="28"/>
          <w:szCs w:val="28"/>
        </w:rPr>
        <w:t xml:space="preserve">: </w:t>
      </w:r>
      <w:r>
        <w:rPr>
          <w:rFonts w:asciiTheme="majorBidi" w:hAnsiTheme="majorBidi" w:cstheme="majorBidi"/>
          <w:b/>
          <w:bCs/>
          <w:sz w:val="28"/>
          <w:szCs w:val="28"/>
        </w:rPr>
        <w:t>Clomifene</w:t>
      </w:r>
      <w:r>
        <w:rPr>
          <w:rFonts w:asciiTheme="majorBidi" w:hAnsiTheme="majorBidi" w:cstheme="majorBidi"/>
          <w:sz w:val="28"/>
          <w:szCs w:val="28"/>
        </w:rPr>
        <w:t xml:space="preserve"> blocks estrogen action, leading to an increase of </w:t>
      </w:r>
      <w:hyperlink r:id="rId42" w:tooltip="Follicle-stimulating hormone" w:history="1">
        <w:r>
          <w:rPr>
            <w:rStyle w:val="Hyperlink"/>
            <w:rFonts w:asciiTheme="majorBidi" w:hAnsiTheme="majorBidi" w:cstheme="majorBidi"/>
            <w:color w:val="auto"/>
            <w:sz w:val="28"/>
            <w:szCs w:val="28"/>
            <w:u w:val="none"/>
          </w:rPr>
          <w:t>follicle-stimulating hormone</w:t>
        </w:r>
      </w:hyperlink>
      <w:r>
        <w:rPr>
          <w:rFonts w:asciiTheme="majorBidi" w:hAnsiTheme="majorBidi" w:cstheme="majorBidi"/>
          <w:sz w:val="28"/>
          <w:szCs w:val="28"/>
        </w:rPr>
        <w:t xml:space="preserve"> (FSH) and </w:t>
      </w:r>
      <w:hyperlink r:id="rId43" w:tooltip="Luteinizing hormone" w:history="1">
        <w:r>
          <w:rPr>
            <w:rStyle w:val="Hyperlink"/>
            <w:rFonts w:asciiTheme="majorBidi" w:hAnsiTheme="majorBidi" w:cstheme="majorBidi"/>
            <w:color w:val="auto"/>
            <w:sz w:val="28"/>
            <w:szCs w:val="28"/>
            <w:u w:val="none"/>
          </w:rPr>
          <w:t>luteinizing hormone</w:t>
        </w:r>
      </w:hyperlink>
      <w:r>
        <w:rPr>
          <w:rFonts w:asciiTheme="majorBidi" w:hAnsiTheme="majorBidi" w:cstheme="majorBidi"/>
          <w:sz w:val="28"/>
          <w:szCs w:val="28"/>
        </w:rPr>
        <w:t xml:space="preserve"> (LH).</w:t>
      </w:r>
    </w:p>
    <w:p w14:paraId="7168CB52" w14:textId="77777777" w:rsidR="00C42E14" w:rsidRDefault="00000000">
      <w:pPr>
        <w:spacing w:line="360" w:lineRule="auto"/>
      </w:pPr>
      <w:r>
        <w:rPr>
          <w:rFonts w:asciiTheme="majorBidi" w:hAnsiTheme="majorBidi" w:cstheme="majorBidi"/>
          <w:sz w:val="28"/>
          <w:szCs w:val="28"/>
        </w:rPr>
        <w:lastRenderedPageBreak/>
        <w:t xml:space="preserve"> 7- </w:t>
      </w:r>
      <w:hyperlink r:id="rId44" w:tooltip="Uterus" w:history="1">
        <w:r>
          <w:rPr>
            <w:rStyle w:val="Hyperlink"/>
            <w:rFonts w:asciiTheme="majorBidi" w:hAnsiTheme="majorBidi" w:cstheme="majorBidi"/>
            <w:color w:val="auto"/>
            <w:sz w:val="28"/>
            <w:szCs w:val="28"/>
            <w:u w:val="none"/>
          </w:rPr>
          <w:t>Uterus</w:t>
        </w:r>
      </w:hyperlink>
      <w:r>
        <w:rPr>
          <w:rFonts w:asciiTheme="majorBidi" w:hAnsiTheme="majorBidi" w:cstheme="majorBidi"/>
          <w:sz w:val="28"/>
          <w:szCs w:val="28"/>
        </w:rPr>
        <w:t xml:space="preserve">: </w:t>
      </w:r>
      <w:r>
        <w:rPr>
          <w:rFonts w:asciiTheme="majorBidi" w:hAnsiTheme="majorBidi" w:cstheme="majorBidi"/>
          <w:b/>
          <w:bCs/>
          <w:sz w:val="28"/>
          <w:szCs w:val="28"/>
        </w:rPr>
        <w:t>Tamoxifen</w:t>
      </w:r>
      <w:r>
        <w:rPr>
          <w:rFonts w:asciiTheme="majorBidi" w:hAnsiTheme="majorBidi" w:cstheme="majorBidi"/>
          <w:sz w:val="28"/>
          <w:szCs w:val="28"/>
        </w:rPr>
        <w:t xml:space="preserve"> may increase </w:t>
      </w:r>
      <w:hyperlink r:id="rId45" w:tooltip="Endometrial carcinoma" w:history="1">
        <w:r>
          <w:rPr>
            <w:rStyle w:val="Hyperlink"/>
            <w:rFonts w:asciiTheme="majorBidi" w:hAnsiTheme="majorBidi" w:cstheme="majorBidi"/>
            <w:color w:val="auto"/>
            <w:sz w:val="28"/>
            <w:szCs w:val="28"/>
            <w:u w:val="none"/>
          </w:rPr>
          <w:t>endometrial carcinoma</w:t>
        </w:r>
      </w:hyperlink>
      <w:r>
        <w:rPr>
          <w:rFonts w:asciiTheme="majorBidi" w:hAnsiTheme="majorBidi" w:cstheme="majorBidi"/>
          <w:sz w:val="28"/>
          <w:szCs w:val="28"/>
        </w:rPr>
        <w:t xml:space="preserve"> risk, but </w:t>
      </w:r>
      <w:r>
        <w:rPr>
          <w:rFonts w:asciiTheme="majorBidi" w:hAnsiTheme="majorBidi" w:cstheme="majorBidi"/>
          <w:b/>
          <w:bCs/>
          <w:sz w:val="28"/>
          <w:szCs w:val="28"/>
        </w:rPr>
        <w:t>raloxifene</w:t>
      </w:r>
      <w:r>
        <w:rPr>
          <w:rFonts w:asciiTheme="majorBidi" w:hAnsiTheme="majorBidi" w:cstheme="majorBidi"/>
          <w:sz w:val="28"/>
          <w:szCs w:val="28"/>
        </w:rPr>
        <w:t xml:space="preserve"> and femarelle do not.</w:t>
      </w:r>
    </w:p>
    <w:sectPr w:rsidR="00C42E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2CFF7" w14:textId="77777777" w:rsidR="00130EEC" w:rsidRDefault="00130EEC">
      <w:pPr>
        <w:spacing w:line="240" w:lineRule="auto"/>
      </w:pPr>
      <w:r>
        <w:separator/>
      </w:r>
    </w:p>
  </w:endnote>
  <w:endnote w:type="continuationSeparator" w:id="0">
    <w:p w14:paraId="3D00D088" w14:textId="77777777" w:rsidR="00130EEC" w:rsidRDefault="00130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7862" w14:textId="77777777" w:rsidR="00130EEC" w:rsidRDefault="00130EEC">
      <w:pPr>
        <w:spacing w:after="0"/>
      </w:pPr>
      <w:r>
        <w:separator/>
      </w:r>
    </w:p>
  </w:footnote>
  <w:footnote w:type="continuationSeparator" w:id="0">
    <w:p w14:paraId="4CC5F7A9" w14:textId="77777777" w:rsidR="00130EEC" w:rsidRDefault="00130E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273ED"/>
    <w:multiLevelType w:val="multilevel"/>
    <w:tmpl w:val="6D7273ED"/>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Times New Roman"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num w:numId="1" w16cid:durableId="192729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1E0"/>
    <w:rsid w:val="00130EEC"/>
    <w:rsid w:val="001F1A08"/>
    <w:rsid w:val="007761E0"/>
    <w:rsid w:val="009A7F43"/>
    <w:rsid w:val="00B0761F"/>
    <w:rsid w:val="00B10EF5"/>
    <w:rsid w:val="00C03603"/>
    <w:rsid w:val="00C42E14"/>
    <w:rsid w:val="00D85115"/>
    <w:rsid w:val="02BB7746"/>
    <w:rsid w:val="03E06A89"/>
    <w:rsid w:val="05392633"/>
    <w:rsid w:val="080F6D92"/>
    <w:rsid w:val="08E24636"/>
    <w:rsid w:val="0BE46947"/>
    <w:rsid w:val="0CDD572B"/>
    <w:rsid w:val="0EF02E4D"/>
    <w:rsid w:val="14F472BA"/>
    <w:rsid w:val="1D3D7B38"/>
    <w:rsid w:val="1DBF040A"/>
    <w:rsid w:val="20303588"/>
    <w:rsid w:val="3ADE0BE7"/>
    <w:rsid w:val="3B2D48C1"/>
    <w:rsid w:val="3EF106F0"/>
    <w:rsid w:val="40454C9D"/>
    <w:rsid w:val="458D5BD7"/>
    <w:rsid w:val="47AA4811"/>
    <w:rsid w:val="54193CF1"/>
    <w:rsid w:val="54736BF6"/>
    <w:rsid w:val="559F5D3F"/>
    <w:rsid w:val="58CF0483"/>
    <w:rsid w:val="5CCA4FF9"/>
    <w:rsid w:val="60677B57"/>
    <w:rsid w:val="6A8758A7"/>
    <w:rsid w:val="6D8A582B"/>
    <w:rsid w:val="701959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C46C"/>
  <w15:docId w15:val="{2A37C8B2-AC93-44F7-8507-FAE3096B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paragraph" w:styleId="Heading2">
    <w:name w:val="heading 2"/>
    <w:next w:val="Normal"/>
    <w:uiPriority w:val="9"/>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DNA" TargetMode="External"/><Relationship Id="rId18" Type="http://schemas.openxmlformats.org/officeDocument/2006/relationships/hyperlink" Target="http://en.wikipedia.org/wiki/Clomifene" TargetMode="External"/><Relationship Id="rId26" Type="http://schemas.openxmlformats.org/officeDocument/2006/relationships/hyperlink" Target="http://en.wikipedia.org/wiki/Tamoxifen" TargetMode="External"/><Relationship Id="rId39" Type="http://schemas.openxmlformats.org/officeDocument/2006/relationships/hyperlink" Target="http://en.wikipedia.org/wiki/Deep_venous_thrombosis" TargetMode="External"/><Relationship Id="rId3" Type="http://schemas.openxmlformats.org/officeDocument/2006/relationships/settings" Target="settings.xml"/><Relationship Id="rId21" Type="http://schemas.openxmlformats.org/officeDocument/2006/relationships/hyperlink" Target="http://en.wikipedia.org/wiki/Menopause" TargetMode="External"/><Relationship Id="rId34" Type="http://schemas.openxmlformats.org/officeDocument/2006/relationships/hyperlink" Target="http://en.wikipedia.org/wiki/Bone" TargetMode="External"/><Relationship Id="rId42" Type="http://schemas.openxmlformats.org/officeDocument/2006/relationships/hyperlink" Target="http://en.wikipedia.org/wiki/Follicle-stimulating_hormone" TargetMode="External"/><Relationship Id="rId47" Type="http://schemas.openxmlformats.org/officeDocument/2006/relationships/theme" Target="theme/theme1.xml"/><Relationship Id="rId7" Type="http://schemas.openxmlformats.org/officeDocument/2006/relationships/hyperlink" Target="https://en.wikipedia.org/wiki/File:Nuclear_receptor_action.png" TargetMode="External"/><Relationship Id="rId12" Type="http://schemas.openxmlformats.org/officeDocument/2006/relationships/hyperlink" Target="https://en.wikipedia.org/wiki/Protein_targeting" TargetMode="External"/><Relationship Id="rId17" Type="http://schemas.openxmlformats.org/officeDocument/2006/relationships/hyperlink" Target="https://en.wikipedia.org/wiki/Messenger_RNA" TargetMode="External"/><Relationship Id="rId25" Type="http://schemas.openxmlformats.org/officeDocument/2006/relationships/hyperlink" Target="http://en.wikipedia.org/wiki/Breast_cancer" TargetMode="External"/><Relationship Id="rId33" Type="http://schemas.openxmlformats.org/officeDocument/2006/relationships/hyperlink" Target="http://en.wikipedia.org/wiki/SRC-1" TargetMode="External"/><Relationship Id="rId38" Type="http://schemas.openxmlformats.org/officeDocument/2006/relationships/hyperlink" Target="http://en.wikipedia.org/wiki/Triglycerid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Transcription_(genetics)" TargetMode="External"/><Relationship Id="rId20" Type="http://schemas.openxmlformats.org/officeDocument/2006/relationships/hyperlink" Target="http://en.wikipedia.org/wiki/Femarelle" TargetMode="External"/><Relationship Id="rId29" Type="http://schemas.openxmlformats.org/officeDocument/2006/relationships/hyperlink" Target="http://en.wikipedia.org/wiki/Fulvestrant" TargetMode="External"/><Relationship Id="rId41" Type="http://schemas.openxmlformats.org/officeDocument/2006/relationships/hyperlink" Target="http://en.wikipedia.org/wiki/Pituitary_gl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Heat_shock_protein" TargetMode="External"/><Relationship Id="rId24" Type="http://schemas.openxmlformats.org/officeDocument/2006/relationships/hyperlink" Target="http://en.wikipedia.org/wiki/Osteoporosis" TargetMode="External"/><Relationship Id="rId32" Type="http://schemas.openxmlformats.org/officeDocument/2006/relationships/hyperlink" Target="http://en.wikipedia.org/wiki/Tertiary_structure" TargetMode="External"/><Relationship Id="rId37" Type="http://schemas.openxmlformats.org/officeDocument/2006/relationships/hyperlink" Target="http://en.wikipedia.org/wiki/Cholesterol" TargetMode="External"/><Relationship Id="rId40" Type="http://schemas.openxmlformats.org/officeDocument/2006/relationships/hyperlink" Target="http://en.wikipedia.org/wiki/Hot_flash" TargetMode="External"/><Relationship Id="rId45" Type="http://schemas.openxmlformats.org/officeDocument/2006/relationships/hyperlink" Target="http://en.wikipedia.org/wiki/Endometrial_carcinoma" TargetMode="External"/><Relationship Id="rId5" Type="http://schemas.openxmlformats.org/officeDocument/2006/relationships/footnotes" Target="footnotes.xml"/><Relationship Id="rId15" Type="http://schemas.openxmlformats.org/officeDocument/2006/relationships/hyperlink" Target="https://en.wikipedia.org/wiki/Protein" TargetMode="External"/><Relationship Id="rId23" Type="http://schemas.openxmlformats.org/officeDocument/2006/relationships/hyperlink" Target="http://en.wikipedia.org/wiki/Raloxifene" TargetMode="External"/><Relationship Id="rId28" Type="http://schemas.openxmlformats.org/officeDocument/2006/relationships/hyperlink" Target="http://en.wikipedia.org/wiki/Estrogen" TargetMode="External"/><Relationship Id="rId36" Type="http://schemas.openxmlformats.org/officeDocument/2006/relationships/hyperlink" Target="http://en.wikipedia.org/wiki/Breast" TargetMode="External"/><Relationship Id="rId10" Type="http://schemas.openxmlformats.org/officeDocument/2006/relationships/hyperlink" Target="https://en.wikipedia.org/wiki/Cytosol" TargetMode="External"/><Relationship Id="rId19" Type="http://schemas.openxmlformats.org/officeDocument/2006/relationships/hyperlink" Target="http://en.wikipedia.org/wiki/Anovulation" TargetMode="External"/><Relationship Id="rId31" Type="http://schemas.openxmlformats.org/officeDocument/2006/relationships/hyperlink" Target="http://en.wikipedia.org/wiki/Corepressor_%28genetics%29" TargetMode="External"/><Relationship Id="rId44" Type="http://schemas.openxmlformats.org/officeDocument/2006/relationships/hyperlink" Target="http://en.wikipedia.org/wiki/Uterus" TargetMode="External"/><Relationship Id="rId4" Type="http://schemas.openxmlformats.org/officeDocument/2006/relationships/webSettings" Target="webSettings.xml"/><Relationship Id="rId9" Type="http://schemas.openxmlformats.org/officeDocument/2006/relationships/hyperlink" Target="https://en.wikipedia.org/wiki/Ligand_(biochemistry)" TargetMode="External"/><Relationship Id="rId14" Type="http://schemas.openxmlformats.org/officeDocument/2006/relationships/hyperlink" Target="https://en.wikipedia.org/wiki/Hormone_response_element" TargetMode="External"/><Relationship Id="rId22" Type="http://schemas.openxmlformats.org/officeDocument/2006/relationships/hyperlink" Target="http://en.wikipedia.org/wiki/Osteoporosis" TargetMode="External"/><Relationship Id="rId27" Type="http://schemas.openxmlformats.org/officeDocument/2006/relationships/hyperlink" Target="http://en.wikipedia.org/wiki/Breast_cancer" TargetMode="External"/><Relationship Id="rId30" Type="http://schemas.openxmlformats.org/officeDocument/2006/relationships/hyperlink" Target="http://en.wikipedia.org/wiki/Coactivation_%28Transcription%29" TargetMode="External"/><Relationship Id="rId35" Type="http://schemas.openxmlformats.org/officeDocument/2006/relationships/hyperlink" Target="http://en.wikipedia.org/wiki/Osteoporosis" TargetMode="External"/><Relationship Id="rId43" Type="http://schemas.openxmlformats.org/officeDocument/2006/relationships/hyperlink" Target="http://en.wikipedia.org/wiki/Luteinizing_horm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1177</Words>
  <Characters>6714</Characters>
  <Application>Microsoft Office Word</Application>
  <DocSecurity>0</DocSecurity>
  <Lines>55</Lines>
  <Paragraphs>15</Paragraphs>
  <ScaleCrop>false</ScaleCrop>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Nada Al-Shawi</cp:lastModifiedBy>
  <cp:revision>2</cp:revision>
  <dcterms:created xsi:type="dcterms:W3CDTF">2026-09-07T17:56:00Z</dcterms:created>
  <dcterms:modified xsi:type="dcterms:W3CDTF">2026-09-07T17:56:00Z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F8DC494AA333489FBF3E30EABCFDEB32_13</vt:lpwstr>
  </property>
</Properties>
</file>