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85" w:rsidRDefault="00D013B1">
      <w:pPr>
        <w:shd w:val="clear" w:color="auto" w:fill="FFFFFF"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Description Form</w:t>
      </w:r>
    </w:p>
    <w:tbl>
      <w:tblPr>
        <w:tblStyle w:val="a"/>
        <w:tblW w:w="95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Course Name: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90485" w:rsidRDefault="00E656EA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Organic Pharmaceutical Chemistry III</w:t>
            </w: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Course Code: 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90485" w:rsidRDefault="00E90485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Semester / Year: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656EA" w:rsidRPr="00E656EA" w:rsidRDefault="00E656EA" w:rsidP="00E656EA">
            <w:pPr>
              <w:shd w:val="clear" w:color="auto" w:fill="FFFFFF"/>
              <w:bidi/>
              <w:ind w:left="72"/>
              <w:jc w:val="right"/>
              <w:rPr>
                <w:rFonts w:ascii="Calibri" w:eastAsia="Calibri" w:hAnsi="Calibri" w:cs="Arial"/>
                <w:color w:val="000000"/>
                <w:sz w:val="28"/>
                <w:szCs w:val="28"/>
              </w:rPr>
            </w:pPr>
            <w:r w:rsidRPr="00E656EA">
              <w:rPr>
                <w:rFonts w:ascii="Calibri" w:eastAsia="Calibri" w:hAnsi="Calibri" w:cs="Arial"/>
                <w:color w:val="000000"/>
                <w:sz w:val="28"/>
                <w:szCs w:val="28"/>
              </w:rPr>
              <w:t>Second course</w:t>
            </w:r>
          </w:p>
          <w:p w:rsidR="00E90485" w:rsidRDefault="00E656EA" w:rsidP="000C30D0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E656EA">
              <w:rPr>
                <w:rFonts w:ascii="Calibri" w:eastAsia="Calibri" w:hAnsi="Calibri" w:cs="Arial"/>
                <w:color w:val="000000"/>
                <w:sz w:val="28"/>
                <w:szCs w:val="28"/>
              </w:rPr>
              <w:t>202</w:t>
            </w:r>
            <w:r w:rsidR="000C30D0">
              <w:rPr>
                <w:rFonts w:ascii="Calibri" w:eastAsia="Calibri" w:hAnsi="Calibri" w:cs="Arial"/>
                <w:color w:val="000000"/>
                <w:sz w:val="28"/>
                <w:szCs w:val="28"/>
              </w:rPr>
              <w:t>4</w:t>
            </w:r>
            <w:r w:rsidRPr="00E656EA">
              <w:rPr>
                <w:rFonts w:ascii="Calibri" w:eastAsia="Calibri" w:hAnsi="Calibri" w:cs="Arial"/>
                <w:color w:val="000000"/>
                <w:sz w:val="28"/>
                <w:szCs w:val="28"/>
              </w:rPr>
              <w:t>-202</w:t>
            </w:r>
            <w:r w:rsidR="000C30D0">
              <w:rPr>
                <w:rFonts w:ascii="Calibri" w:eastAsia="Calibri" w:hAnsi="Calibri" w:cs="Arial"/>
                <w:color w:val="000000"/>
                <w:sz w:val="28"/>
                <w:szCs w:val="28"/>
              </w:rPr>
              <w:t>5</w:t>
            </w: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Description Preparation Date: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90485" w:rsidRDefault="000C30D0" w:rsidP="000C30D0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21</w:t>
            </w:r>
            <w:r w:rsidR="00CE25D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9</w:t>
            </w:r>
            <w:bookmarkStart w:id="0" w:name="_GoBack"/>
            <w:bookmarkEnd w:id="0"/>
            <w:r w:rsidR="00CE25D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/</w:t>
            </w:r>
            <w:r w:rsidR="00CE25DC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2024</w:t>
            </w: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Available Attendance Forms: 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90485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The fourth stage</w:t>
            </w: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Credit Hours (Total) / Number of Units (Total)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90485" w:rsidRDefault="00E90485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E90485" w:rsidRP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theme="minorBidi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libri" w:eastAsia="Calibri" w:hAnsi="Calibri" w:cstheme="minorBidi"/>
                <w:color w:val="000000"/>
                <w:sz w:val="28"/>
                <w:szCs w:val="28"/>
                <w:lang w:bidi="ar-IQ"/>
              </w:rPr>
              <w:t xml:space="preserve"> 4 units</w:t>
            </w: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CE25DC" w:rsidRDefault="00D013B1" w:rsidP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Name: </w:t>
            </w:r>
            <w:r w:rsidR="00E656EA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                 Email:</w:t>
            </w:r>
          </w:p>
          <w:p w:rsidR="00CE25DC" w:rsidRDefault="00CE25DC" w:rsidP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Ammar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A.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Razzak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Mahmood</w:t>
            </w:r>
            <w:proofErr w:type="spellEnd"/>
          </w:p>
          <w:p w:rsidR="00CE25DC" w:rsidRDefault="000C30D0" w:rsidP="00CE25DC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hyperlink r:id="rId6" w:history="1">
              <w:r w:rsidR="00CE25DC" w:rsidRPr="00D256C6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Amar.mahmoud@copharm.uobaghdad.edu.iq</w:t>
              </w:r>
            </w:hyperlink>
          </w:p>
          <w:p w:rsidR="00E656EA" w:rsidRDefault="00E656EA" w:rsidP="00CE25DC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Dr. Mohammed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Kamil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Hadi</w:t>
            </w:r>
            <w:proofErr w:type="spellEnd"/>
          </w:p>
          <w:p w:rsidR="00E656EA" w:rsidRDefault="000C30D0">
            <w:pPr>
              <w:shd w:val="clear" w:color="auto" w:fill="FFFFFF"/>
              <w:ind w:left="720" w:right="-426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7" w:history="1">
              <w:r w:rsidR="00E656EA" w:rsidRPr="00272181">
                <w:rPr>
                  <w:rStyle w:val="Hyperlink"/>
                  <w:rFonts w:ascii="Calibri" w:eastAsia="Calibri" w:hAnsi="Calibri" w:cs="Calibri"/>
                  <w:b/>
                  <w:sz w:val="28"/>
                  <w:szCs w:val="28"/>
                </w:rPr>
                <w:t>mohammed.hadi@copharm.uobaghdad.edu.iq</w:t>
              </w:r>
            </w:hyperlink>
          </w:p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Zainab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Abdelhadi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Dakhel</w:t>
            </w:r>
            <w:proofErr w:type="spellEnd"/>
          </w:p>
          <w:p w:rsidR="00E656EA" w:rsidRDefault="000C30D0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hyperlink r:id="rId8" w:history="1">
              <w:r w:rsidR="00E656EA" w:rsidRPr="00272181">
                <w:rPr>
                  <w:rStyle w:val="Hyperlink"/>
                  <w:rFonts w:ascii="Calibri" w:eastAsia="Calibri" w:hAnsi="Calibri" w:cs="Calibri"/>
                  <w:b/>
                  <w:sz w:val="28"/>
                  <w:szCs w:val="28"/>
                </w:rPr>
                <w:t>Zainab.abd@copharm.uobaghdad.edu.iq</w:t>
              </w:r>
            </w:hyperlink>
          </w:p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E90485" w:rsidRDefault="00E90485" w:rsidP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E90485">
        <w:tc>
          <w:tcPr>
            <w:tcW w:w="5016" w:type="dxa"/>
            <w:gridSpan w:val="6"/>
            <w:shd w:val="clear" w:color="auto" w:fill="auto"/>
          </w:tcPr>
          <w:p w:rsidR="00E90485" w:rsidRDefault="00D013B1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gridSpan w:val="3"/>
            <w:shd w:val="clear" w:color="auto" w:fill="auto"/>
          </w:tcPr>
          <w:p w:rsidR="00E656EA" w:rsidRPr="00E656EA" w:rsidRDefault="00E656EA" w:rsidP="00E656EA">
            <w:pPr>
              <w:shd w:val="clear" w:color="auto" w:fill="FFFFFF"/>
              <w:bidi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E656EA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1- Study of the biological function of certain neurotransmitters within the human body</w:t>
            </w:r>
          </w:p>
          <w:p w:rsidR="00E656EA" w:rsidRPr="00E656EA" w:rsidRDefault="00E656EA" w:rsidP="00E656EA">
            <w:pPr>
              <w:shd w:val="clear" w:color="auto" w:fill="FFFFFF"/>
              <w:bidi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E656EA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2- Studying the pharmacokinetics of a drug within a living organism includes mechanisms of absorption, metabolism, and excretion</w:t>
            </w:r>
          </w:p>
          <w:p w:rsidR="00E656EA" w:rsidRPr="00E656EA" w:rsidRDefault="00E656EA" w:rsidP="00E656EA">
            <w:pPr>
              <w:shd w:val="clear" w:color="auto" w:fill="FFFFFF"/>
              <w:bidi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E656EA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 xml:space="preserve">3- Study the relationship between </w:t>
            </w:r>
            <w:r w:rsidRPr="00E656EA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lastRenderedPageBreak/>
              <w:t>the chemical structure of compounds and their activity (such as antibiotics, anticancer agents)</w:t>
            </w:r>
          </w:p>
          <w:p w:rsidR="00E90485" w:rsidRDefault="00E656EA" w:rsidP="00E656EA">
            <w:pPr>
              <w:ind w:right="-426"/>
              <w:rPr>
                <w:b/>
                <w:sz w:val="22"/>
                <w:szCs w:val="22"/>
              </w:rPr>
            </w:pPr>
            <w:r w:rsidRPr="00E656EA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4- Preparing students to understand the chemical compositions of compounds and their relationship to the biological activities in the human body</w:t>
            </w: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E90485">
        <w:tc>
          <w:tcPr>
            <w:tcW w:w="1437" w:type="dxa"/>
            <w:gridSpan w:val="2"/>
            <w:shd w:val="clear" w:color="auto" w:fill="auto"/>
          </w:tcPr>
          <w:p w:rsidR="00E90485" w:rsidRDefault="00D013B1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E90485" w:rsidRDefault="00E90485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110D0F" w:rsidRPr="00110D0F" w:rsidRDefault="00110D0F" w:rsidP="00110D0F">
            <w:pPr>
              <w:shd w:val="clear" w:color="auto" w:fill="FFFFFF"/>
              <w:bidi/>
              <w:ind w:left="612"/>
              <w:jc w:val="right"/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10D0F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Knowledge:</w:t>
            </w:r>
          </w:p>
          <w:p w:rsidR="00110D0F" w:rsidRPr="00110D0F" w:rsidRDefault="00110D0F" w:rsidP="00110D0F">
            <w:pPr>
              <w:shd w:val="clear" w:color="auto" w:fill="FFFFFF"/>
              <w:bidi/>
              <w:ind w:left="612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1- To know the methods of manufacturing some compounds and medications.</w:t>
            </w:r>
          </w:p>
          <w:p w:rsidR="00110D0F" w:rsidRPr="00110D0F" w:rsidRDefault="00110D0F" w:rsidP="00110D0F">
            <w:pPr>
              <w:shd w:val="clear" w:color="auto" w:fill="FFFFFF"/>
              <w:bidi/>
              <w:ind w:left="612"/>
              <w:jc w:val="right"/>
              <w:rPr>
                <w:rFonts w:ascii="Calibri" w:eastAsia="Calibri" w:hAnsi="Calibri" w:cstheme="minorBidi"/>
                <w:color w:val="000000"/>
                <w:sz w:val="28"/>
                <w:szCs w:val="28"/>
                <w:lang w:bidi="ar-IQ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2- How to handle chemical compounds</w:t>
            </w:r>
          </w:p>
          <w:p w:rsidR="00110D0F" w:rsidRDefault="00110D0F" w:rsidP="00110D0F">
            <w:pPr>
              <w:shd w:val="clear" w:color="auto" w:fill="FFFFFF"/>
              <w:bidi/>
              <w:ind w:left="612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3- Performing practical experiments for the manufacturing and purification of compounds</w:t>
            </w:r>
          </w:p>
          <w:p w:rsidR="00110D0F" w:rsidRPr="00110D0F" w:rsidRDefault="00110D0F" w:rsidP="00110D0F">
            <w:pPr>
              <w:shd w:val="clear" w:color="auto" w:fill="FFFFFF"/>
              <w:bidi/>
              <w:rPr>
                <w:rFonts w:ascii="Calibri" w:eastAsia="Calibri" w:hAnsi="Calibri" w:cstheme="minorBidi"/>
                <w:color w:val="000000"/>
                <w:sz w:val="28"/>
                <w:szCs w:val="28"/>
                <w:rtl/>
                <w:lang w:bidi="ar-IQ"/>
              </w:rPr>
            </w:pPr>
          </w:p>
          <w:p w:rsidR="00110D0F" w:rsidRPr="00110D0F" w:rsidRDefault="00110D0F" w:rsidP="00110D0F">
            <w:pPr>
              <w:shd w:val="clear" w:color="auto" w:fill="FFFFFF"/>
              <w:bidi/>
              <w:ind w:left="1332"/>
              <w:jc w:val="right"/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10D0F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Skills:  </w:t>
            </w:r>
          </w:p>
          <w:p w:rsidR="00110D0F" w:rsidRPr="00110D0F" w:rsidRDefault="00110D0F" w:rsidP="00110D0F">
            <w:pPr>
              <w:shd w:val="clear" w:color="auto" w:fill="FFFFFF"/>
              <w:bidi/>
              <w:ind w:left="1332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1- Acquiring skill in using different methods in the production and preparation of medications</w:t>
            </w:r>
          </w:p>
          <w:p w:rsidR="00110D0F" w:rsidRPr="00110D0F" w:rsidRDefault="00110D0F" w:rsidP="00110D0F">
            <w:pPr>
              <w:shd w:val="clear" w:color="auto" w:fill="FFFFFF"/>
              <w:bidi/>
              <w:ind w:left="1332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2- Acquiring the skill of how to handle chemical compounds</w:t>
            </w:r>
          </w:p>
          <w:p w:rsidR="00110D0F" w:rsidRDefault="00110D0F" w:rsidP="00110D0F">
            <w:pPr>
              <w:shd w:val="clear" w:color="auto" w:fill="FFFFFF"/>
              <w:bidi/>
              <w:ind w:left="1332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3- Acquiring the skill of writing practical reports</w:t>
            </w:r>
          </w:p>
          <w:p w:rsidR="00110D0F" w:rsidRDefault="00110D0F" w:rsidP="00110D0F">
            <w:pPr>
              <w:shd w:val="clear" w:color="auto" w:fill="FFFFFF"/>
              <w:bidi/>
              <w:ind w:left="1332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lang w:bidi="ar-IQ"/>
              </w:rPr>
            </w:pPr>
          </w:p>
          <w:p w:rsidR="00110D0F" w:rsidRPr="00110D0F" w:rsidRDefault="00110D0F" w:rsidP="00110D0F">
            <w:pPr>
              <w:shd w:val="clear" w:color="auto" w:fill="FFFFFF"/>
              <w:ind w:left="720" w:right="-426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10D0F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Learning and teaching methods</w:t>
            </w:r>
            <w:r w:rsidRPr="00110D0F"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  <w:lang w:bidi="ar-IQ"/>
              </w:rPr>
              <w:t>: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1-</w:t>
            </w: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The theoretical lectures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2- Conduct scientific experiments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sz w:val="28"/>
                <w:szCs w:val="28"/>
                <w:rtl/>
              </w:rPr>
            </w:pPr>
            <w:r w:rsidRPr="00110D0F">
              <w:rPr>
                <w:sz w:val="28"/>
                <w:szCs w:val="28"/>
              </w:rPr>
              <w:t>3- Seminars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rtl/>
                <w:lang w:bidi="ar-IQ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4- The daily duties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rtl/>
                <w:lang w:bidi="ar-IQ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lang w:bidi="ar-IQ"/>
              </w:rPr>
              <w:t xml:space="preserve">5- </w:t>
            </w: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The written exams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  <w:rtl/>
                <w:lang w:bidi="ar-IQ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6- Curriculum and supportive books</w:t>
            </w:r>
          </w:p>
          <w:p w:rsidR="00110D0F" w:rsidRPr="00110D0F" w:rsidRDefault="00110D0F" w:rsidP="00110D0F">
            <w:pPr>
              <w:bidi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110D0F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7- Explanatory videos</w:t>
            </w:r>
          </w:p>
          <w:p w:rsidR="00110D0F" w:rsidRPr="00110D0F" w:rsidRDefault="00110D0F" w:rsidP="00110D0F">
            <w:pPr>
              <w:shd w:val="clear" w:color="auto" w:fill="FFFFFF"/>
              <w:bidi/>
              <w:ind w:left="1332"/>
              <w:jc w:val="right"/>
              <w:rPr>
                <w:rFonts w:ascii="Calibri" w:eastAsia="Calibri" w:hAnsi="Calibri" w:cstheme="minorBidi"/>
                <w:color w:val="000000"/>
                <w:sz w:val="28"/>
                <w:szCs w:val="28"/>
                <w:rtl/>
                <w:lang w:bidi="ar-IQ"/>
              </w:rPr>
            </w:pPr>
          </w:p>
          <w:p w:rsidR="00110D0F" w:rsidRDefault="00110D0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  <w:lang w:bidi="ar-IQ"/>
              </w:rPr>
            </w:pPr>
          </w:p>
          <w:p w:rsidR="00E90485" w:rsidRDefault="00E90485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E90485" w:rsidRDefault="00E90485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E90485">
        <w:trPr>
          <w:trHeight w:val="182"/>
        </w:trPr>
        <w:tc>
          <w:tcPr>
            <w:tcW w:w="897" w:type="dxa"/>
            <w:shd w:val="clear" w:color="auto" w:fill="BDD6EE"/>
          </w:tcPr>
          <w:p w:rsidR="00E90485" w:rsidRDefault="00D013B1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Week 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E90485" w:rsidRDefault="00D013B1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:rsidR="00E90485" w:rsidRDefault="00D013B1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:rsidR="00E90485" w:rsidRDefault="00D013B1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:rsidR="00E90485" w:rsidRDefault="00D013B1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:rsidR="00E90485" w:rsidRDefault="00D013B1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Evaluation method </w:t>
            </w:r>
          </w:p>
        </w:tc>
      </w:tr>
      <w:tr w:rsidR="00E656EA">
        <w:trPr>
          <w:trHeight w:val="181"/>
        </w:trPr>
        <w:tc>
          <w:tcPr>
            <w:tcW w:w="897" w:type="dxa"/>
            <w:shd w:val="clear" w:color="auto" w:fill="auto"/>
          </w:tcPr>
          <w:p w:rsidR="00E656EA" w:rsidRDefault="00E656EA" w:rsidP="00E656EA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656EA" w:rsidRDefault="00E656EA" w:rsidP="00E656EA">
            <w:pPr>
              <w:shd w:val="clear" w:color="auto" w:fill="FFFFFF"/>
              <w:tabs>
                <w:tab w:val="left" w:pos="642"/>
              </w:tabs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:rsidR="00E656EA" w:rsidRPr="00F122FC" w:rsidRDefault="00E656EA" w:rsidP="00E656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122FC">
              <w:rPr>
                <w:rFonts w:ascii="Calibri" w:eastAsia="Calibri" w:hAnsi="Calibri" w:cs="Arial"/>
                <w:sz w:val="24"/>
                <w:szCs w:val="24"/>
              </w:rPr>
              <w:t>β-Lactam antibiotics (</w:t>
            </w:r>
            <w:proofErr w:type="spellStart"/>
            <w:r w:rsidRPr="00F122FC">
              <w:rPr>
                <w:rFonts w:ascii="Calibri" w:eastAsia="Calibri" w:hAnsi="Calibri" w:cs="Arial"/>
                <w:sz w:val="24"/>
                <w:szCs w:val="24"/>
              </w:rPr>
              <w:t>Penicillins</w:t>
            </w:r>
            <w:proofErr w:type="spellEnd"/>
            <w:r w:rsidRPr="00F122FC"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  <w:p w:rsidR="00E656EA" w:rsidRPr="00F122FC" w:rsidRDefault="00E656EA" w:rsidP="00E656EA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β-Lactamase inhibitors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,Cephalosporins,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Monobactams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Aminoglycosides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Tetracylines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,Macrolides,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Lincomycins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eastAsia="Calibri"/>
                <w:sz w:val="24"/>
                <w:szCs w:val="24"/>
              </w:rPr>
              <w:t>Polypeptides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 xml:space="preserve">Unclassified </w:t>
            </w:r>
            <w:proofErr w:type="spellStart"/>
            <w:r w:rsidRPr="00F122FC">
              <w:rPr>
                <w:rFonts w:ascii="Calibri" w:eastAsia="Calibri" w:hAnsi="Calibri" w:cs="Arial"/>
                <w:sz w:val="24"/>
                <w:szCs w:val="24"/>
              </w:rPr>
              <w:t>antibiotics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ascii="Calibri" w:eastAsia="Calibri" w:hAnsi="Calibri" w:cs="Calibri"/>
                <w:sz w:val="24"/>
                <w:szCs w:val="24"/>
              </w:rPr>
              <w:t>Newer</w:t>
            </w:r>
            <w:proofErr w:type="spellEnd"/>
            <w:r w:rsidRPr="00F122FC">
              <w:rPr>
                <w:rFonts w:ascii="Calibri" w:eastAsia="Calibri" w:hAnsi="Calibri" w:cs="Calibri"/>
                <w:sz w:val="24"/>
                <w:szCs w:val="24"/>
              </w:rPr>
              <w:t xml:space="preserve"> antibiotics</w:t>
            </w:r>
            <w:r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  <w:p w:rsidR="00E656EA" w:rsidRPr="0052547A" w:rsidRDefault="00E656EA" w:rsidP="00E656E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:rsidR="00E656EA" w:rsidRDefault="00E656EA" w:rsidP="00E656EA">
            <w:pPr>
              <w:rPr>
                <w:rFonts w:ascii="Calibri" w:hAnsi="Calibri" w:cs="Calibri"/>
                <w:sz w:val="28"/>
                <w:szCs w:val="28"/>
              </w:rPr>
            </w:pPr>
            <w:r w:rsidRPr="0052547A">
              <w:rPr>
                <w:rFonts w:ascii="Calibri" w:hAnsi="Calibri" w:cs="Calibri"/>
                <w:sz w:val="28"/>
                <w:szCs w:val="28"/>
              </w:rPr>
              <w:t>Antibacterial Antibiotics</w:t>
            </w:r>
          </w:p>
          <w:p w:rsidR="00E656EA" w:rsidRPr="0052547A" w:rsidRDefault="00E656EA" w:rsidP="00E656E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656EA" w:rsidRDefault="00E656EA" w:rsidP="00E656EA">
            <w:pPr>
              <w:shd w:val="clear" w:color="auto" w:fill="FFFFFF"/>
              <w:tabs>
                <w:tab w:val="left" w:pos="642"/>
              </w:tabs>
              <w:rPr>
                <w:color w:val="000000"/>
                <w:sz w:val="28"/>
                <w:szCs w:val="28"/>
              </w:rPr>
            </w:pPr>
            <w:r w:rsidRPr="005213DC">
              <w:rPr>
                <w:rFonts w:ascii="Calibri" w:hAnsi="Calibri" w:cs="Calibri"/>
                <w:color w:val="000000"/>
                <w:sz w:val="28"/>
                <w:szCs w:val="28"/>
              </w:rPr>
              <w:t>Lectures</w:t>
            </w:r>
          </w:p>
        </w:tc>
        <w:tc>
          <w:tcPr>
            <w:tcW w:w="1590" w:type="dxa"/>
            <w:shd w:val="clear" w:color="auto" w:fill="auto"/>
          </w:tcPr>
          <w:p w:rsidR="00E656EA" w:rsidRPr="005213DC" w:rsidRDefault="00E656EA" w:rsidP="00E656EA">
            <w:pPr>
              <w:shd w:val="clear" w:color="auto" w:fill="FFFFFF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 w:rsidRPr="005213DC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Oral and written exam</w:t>
            </w:r>
          </w:p>
          <w:p w:rsidR="00E656EA" w:rsidRDefault="00E656EA" w:rsidP="00E656EA">
            <w:pPr>
              <w:shd w:val="clear" w:color="auto" w:fill="FFFFFF"/>
              <w:tabs>
                <w:tab w:val="left" w:pos="642"/>
              </w:tabs>
              <w:rPr>
                <w:color w:val="000000"/>
                <w:sz w:val="28"/>
                <w:szCs w:val="28"/>
              </w:rPr>
            </w:pPr>
          </w:p>
        </w:tc>
      </w:tr>
      <w:tr w:rsidR="00E656EA">
        <w:trPr>
          <w:trHeight w:val="181"/>
        </w:trPr>
        <w:tc>
          <w:tcPr>
            <w:tcW w:w="897" w:type="dxa"/>
            <w:shd w:val="clear" w:color="auto" w:fill="auto"/>
          </w:tcPr>
          <w:p w:rsidR="00E656EA" w:rsidRDefault="00E656EA" w:rsidP="00E656EA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656EA" w:rsidRDefault="00E656EA" w:rsidP="00E656EA">
            <w:pPr>
              <w:shd w:val="clear" w:color="auto" w:fill="FFFFFF"/>
              <w:tabs>
                <w:tab w:val="left" w:pos="6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8372D5" w:rsidRDefault="00FC157E" w:rsidP="008372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31134">
              <w:rPr>
                <w:rFonts w:asciiTheme="majorHAnsi" w:hAnsiTheme="majorHAnsi" w:cstheme="majorHAnsi"/>
                <w:sz w:val="24"/>
                <w:szCs w:val="24"/>
              </w:rPr>
              <w:t xml:space="preserve">The Classification </w:t>
            </w:r>
            <w:r w:rsidR="00831134">
              <w:rPr>
                <w:rFonts w:asciiTheme="majorHAnsi" w:hAnsiTheme="majorHAnsi" w:cstheme="majorHAnsi"/>
                <w:sz w:val="24"/>
                <w:szCs w:val="24"/>
              </w:rPr>
              <w:t xml:space="preserve">and Biochemistry of Viruses </w:t>
            </w:r>
          </w:p>
          <w:p w:rsidR="00FC157E" w:rsidRPr="00831134" w:rsidRDefault="00FC157E" w:rsidP="008372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C157E" w:rsidRPr="00831134" w:rsidRDefault="00FC157E" w:rsidP="00FC15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31134">
              <w:rPr>
                <w:rFonts w:asciiTheme="majorHAnsi" w:hAnsiTheme="majorHAnsi" w:cstheme="majorHAnsi"/>
                <w:sz w:val="24"/>
                <w:szCs w:val="24"/>
              </w:rPr>
              <w:t>Nucleoside Antimetabolites: Inhibiting Viral</w:t>
            </w:r>
          </w:p>
          <w:p w:rsidR="00E656EA" w:rsidRPr="004547FE" w:rsidRDefault="00FC157E" w:rsidP="004547F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31134">
              <w:rPr>
                <w:rFonts w:asciiTheme="majorHAnsi" w:hAnsiTheme="majorHAnsi" w:cstheme="majorHAnsi"/>
                <w:sz w:val="24"/>
                <w:szCs w:val="24"/>
              </w:rPr>
              <w:t>Replicati</w:t>
            </w:r>
            <w:r w:rsidR="00831134">
              <w:rPr>
                <w:rFonts w:asciiTheme="majorHAnsi" w:hAnsiTheme="majorHAnsi" w:cstheme="majorHAnsi"/>
                <w:sz w:val="24"/>
                <w:szCs w:val="24"/>
              </w:rPr>
              <w:t xml:space="preserve">on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E656EA" w:rsidRPr="0052547A" w:rsidRDefault="00DE0043" w:rsidP="00E656E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Antiviral drugs</w:t>
            </w:r>
          </w:p>
        </w:tc>
        <w:tc>
          <w:tcPr>
            <w:tcW w:w="1590" w:type="dxa"/>
            <w:shd w:val="clear" w:color="auto" w:fill="auto"/>
          </w:tcPr>
          <w:p w:rsidR="00E656EA" w:rsidRDefault="00E656EA" w:rsidP="00E656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13DC">
              <w:rPr>
                <w:rFonts w:ascii="Calibri" w:hAnsi="Calibri" w:cs="Calibri"/>
                <w:color w:val="000000"/>
                <w:sz w:val="28"/>
                <w:szCs w:val="28"/>
              </w:rPr>
              <w:t>Lectures</w:t>
            </w:r>
          </w:p>
        </w:tc>
        <w:tc>
          <w:tcPr>
            <w:tcW w:w="1590" w:type="dxa"/>
            <w:shd w:val="clear" w:color="auto" w:fill="auto"/>
          </w:tcPr>
          <w:p w:rsidR="00E656EA" w:rsidRPr="005213DC" w:rsidRDefault="00E656EA" w:rsidP="00E656EA">
            <w:pPr>
              <w:shd w:val="clear" w:color="auto" w:fill="FFFFFF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 w:rsidRPr="005213DC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Oral and written exam</w:t>
            </w:r>
          </w:p>
          <w:p w:rsidR="00E656EA" w:rsidRDefault="00E656EA" w:rsidP="00E656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E656EA">
        <w:trPr>
          <w:trHeight w:val="181"/>
        </w:trPr>
        <w:tc>
          <w:tcPr>
            <w:tcW w:w="897" w:type="dxa"/>
            <w:shd w:val="clear" w:color="auto" w:fill="auto"/>
          </w:tcPr>
          <w:p w:rsidR="00E656EA" w:rsidRDefault="00E656EA" w:rsidP="00E656EA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656EA" w:rsidRDefault="00E656EA" w:rsidP="00E656EA">
            <w:pPr>
              <w:shd w:val="clear" w:color="auto" w:fill="FFFFFF"/>
              <w:tabs>
                <w:tab w:val="left" w:pos="6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250" w:type="dxa"/>
            <w:shd w:val="clear" w:color="auto" w:fill="auto"/>
          </w:tcPr>
          <w:p w:rsidR="00D013B1" w:rsidRPr="00F122FC" w:rsidRDefault="00D013B1" w:rsidP="00D013B1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122FC">
              <w:rPr>
                <w:rFonts w:ascii="Calibri" w:eastAsia="Calibri" w:hAnsi="Calibri" w:cs="Arial"/>
                <w:sz w:val="24"/>
                <w:szCs w:val="24"/>
              </w:rPr>
              <w:t>Alkylating agents</w:t>
            </w:r>
          </w:p>
          <w:p w:rsidR="00D013B1" w:rsidRPr="0052547A" w:rsidRDefault="00D013B1" w:rsidP="00D013B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Antimetabolite,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Antibiotics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Plant</w:t>
            </w:r>
            <w:proofErr w:type="spellEnd"/>
            <w:r w:rsidRPr="00F122FC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122FC">
              <w:rPr>
                <w:rFonts w:ascii="Calibri" w:eastAsia="Calibri" w:hAnsi="Calibri" w:cs="Arial"/>
                <w:sz w:val="24"/>
                <w:szCs w:val="24"/>
              </w:rPr>
              <w:t>products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F122FC">
              <w:rPr>
                <w:rFonts w:ascii="Calibri" w:eastAsia="Calibri" w:hAnsi="Calibri" w:cs="Calibri"/>
                <w:sz w:val="24"/>
                <w:szCs w:val="24"/>
              </w:rPr>
              <w:t>Protein</w:t>
            </w:r>
            <w:proofErr w:type="spellEnd"/>
            <w:r w:rsidRPr="00F122FC">
              <w:rPr>
                <w:rFonts w:ascii="Calibri" w:eastAsia="Calibri" w:hAnsi="Calibri" w:cs="Calibri"/>
                <w:sz w:val="24"/>
                <w:szCs w:val="24"/>
              </w:rPr>
              <w:t xml:space="preserve"> kinase </w:t>
            </w:r>
            <w:proofErr w:type="spellStart"/>
            <w:r w:rsidRPr="00F122FC">
              <w:rPr>
                <w:rFonts w:ascii="Calibri" w:eastAsia="Calibri" w:hAnsi="Calibri" w:cs="Calibri"/>
                <w:sz w:val="24"/>
                <w:szCs w:val="24"/>
              </w:rPr>
              <w:t>inhibitors</w:t>
            </w:r>
            <w:r>
              <w:rPr>
                <w:rFonts w:ascii="Calibri" w:eastAsia="Calibri" w:hAnsi="Calibri" w:cs="Arial"/>
                <w:sz w:val="24"/>
                <w:szCs w:val="24"/>
              </w:rPr>
              <w:t>,Miscellaneous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F122FC">
              <w:rPr>
                <w:rFonts w:ascii="Calibri" w:eastAsia="Calibri" w:hAnsi="Calibri" w:cs="Arial"/>
                <w:sz w:val="24"/>
                <w:szCs w:val="24"/>
              </w:rPr>
              <w:t>compounds</w:t>
            </w:r>
            <w:r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D013B1" w:rsidRDefault="00D013B1" w:rsidP="00D013B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2547A">
              <w:rPr>
                <w:rFonts w:ascii="Calibri" w:hAnsi="Calibri" w:cs="Calibri"/>
                <w:sz w:val="28"/>
                <w:szCs w:val="28"/>
              </w:rPr>
              <w:t>Anti-neoplastic agents</w:t>
            </w:r>
          </w:p>
          <w:p w:rsidR="00E656EA" w:rsidRPr="00F122FC" w:rsidRDefault="00E656EA" w:rsidP="00E656EA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E656EA" w:rsidRDefault="00E656EA" w:rsidP="00E656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13DC">
              <w:rPr>
                <w:rFonts w:ascii="Calibri" w:hAnsi="Calibri" w:cs="Calibri"/>
                <w:color w:val="000000"/>
                <w:sz w:val="28"/>
                <w:szCs w:val="28"/>
              </w:rPr>
              <w:t>Lectures</w:t>
            </w:r>
          </w:p>
        </w:tc>
        <w:tc>
          <w:tcPr>
            <w:tcW w:w="1590" w:type="dxa"/>
            <w:shd w:val="clear" w:color="auto" w:fill="auto"/>
          </w:tcPr>
          <w:p w:rsidR="00E656EA" w:rsidRPr="005213DC" w:rsidRDefault="00E656EA" w:rsidP="00E656EA">
            <w:pPr>
              <w:shd w:val="clear" w:color="auto" w:fill="FFFFFF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bidi="ar-IQ"/>
              </w:rPr>
            </w:pPr>
            <w:r w:rsidRPr="005213DC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Oral and written exam</w:t>
            </w:r>
          </w:p>
          <w:p w:rsidR="00E656EA" w:rsidRDefault="00E656EA" w:rsidP="00E656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E656EA">
        <w:trPr>
          <w:trHeight w:val="181"/>
        </w:trPr>
        <w:tc>
          <w:tcPr>
            <w:tcW w:w="897" w:type="dxa"/>
            <w:shd w:val="clear" w:color="auto" w:fill="auto"/>
          </w:tcPr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656EA" w:rsidRDefault="00E656EA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E90485">
        <w:tc>
          <w:tcPr>
            <w:tcW w:w="9540" w:type="dxa"/>
            <w:gridSpan w:val="9"/>
            <w:shd w:val="clear" w:color="auto" w:fill="auto"/>
          </w:tcPr>
          <w:p w:rsidR="00E90485" w:rsidRDefault="00D013B1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Distributing the score out of 100 according to the tasks assigned to the student such as daily preparation, daily oral, monthly, or written exams,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reports ....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110D0F" w:rsidRDefault="00110D0F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10D0F" w:rsidRDefault="00110D0F" w:rsidP="00110D0F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10D0F" w:rsidRPr="00E67706" w:rsidRDefault="00110D0F" w:rsidP="00110D0F">
            <w:pPr>
              <w:shd w:val="clear" w:color="auto" w:fill="FFFFFF"/>
              <w:spacing w:after="160"/>
              <w:jc w:val="both"/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</w:pPr>
            <w:r w:rsidRPr="00E67706"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  <w:t>20 marks for practical work in the lab</w:t>
            </w:r>
            <w:r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  <w:t xml:space="preserve"> and quiz</w:t>
            </w:r>
          </w:p>
          <w:p w:rsidR="00110D0F" w:rsidRPr="00E67706" w:rsidRDefault="00110D0F" w:rsidP="00110D0F">
            <w:pPr>
              <w:shd w:val="clear" w:color="auto" w:fill="FFFFFF"/>
              <w:spacing w:after="160"/>
              <w:jc w:val="both"/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</w:pPr>
            <w:r w:rsidRPr="00E67706"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  <w:t>20 marks for mid-term exam and</w:t>
            </w:r>
            <w:r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  <w:t xml:space="preserve"> quiz</w:t>
            </w:r>
          </w:p>
          <w:p w:rsidR="00110D0F" w:rsidRPr="00F83C01" w:rsidRDefault="00110D0F" w:rsidP="00110D0F">
            <w:pPr>
              <w:shd w:val="clear" w:color="auto" w:fill="FFFFFF"/>
              <w:spacing w:after="160"/>
              <w:jc w:val="both"/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rtl/>
              </w:rPr>
            </w:pPr>
            <w:r w:rsidRPr="00E67706"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  <w:t>60 marks for final exam</w:t>
            </w:r>
          </w:p>
          <w:p w:rsidR="00110D0F" w:rsidRDefault="00110D0F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10D0F" w:rsidRDefault="00110D0F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90485">
        <w:tc>
          <w:tcPr>
            <w:tcW w:w="9540" w:type="dxa"/>
            <w:gridSpan w:val="9"/>
            <w:shd w:val="clear" w:color="auto" w:fill="DEEAF6"/>
          </w:tcPr>
          <w:p w:rsidR="00E90485" w:rsidRDefault="00D013B1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E90485">
        <w:tc>
          <w:tcPr>
            <w:tcW w:w="4770" w:type="dxa"/>
            <w:gridSpan w:val="5"/>
            <w:shd w:val="clear" w:color="auto" w:fill="auto"/>
          </w:tcPr>
          <w:p w:rsidR="00E90485" w:rsidRDefault="00D013B1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E90485" w:rsidRDefault="00D013B1" w:rsidP="00D013B1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Wilson and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Gisvold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Textbook of Organic medicinal and Pharmaceutical chemistry, Delgado JN,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Remers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WA, (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Eds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); 12th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ed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, 2011</w:t>
            </w:r>
          </w:p>
        </w:tc>
      </w:tr>
      <w:tr w:rsidR="00E90485">
        <w:tc>
          <w:tcPr>
            <w:tcW w:w="4770" w:type="dxa"/>
            <w:gridSpan w:val="5"/>
            <w:shd w:val="clear" w:color="auto" w:fill="auto"/>
          </w:tcPr>
          <w:p w:rsidR="00E90485" w:rsidRDefault="00D013B1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E90485" w:rsidRDefault="00D013B1" w:rsidP="00D013B1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Wilson and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Gisvold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Textbook of Organic medicinal and Pharmaceutical chemistry, Delgado JN,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Remers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WA, (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Eds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); 12th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ed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, 2011</w:t>
            </w:r>
          </w:p>
        </w:tc>
      </w:tr>
      <w:tr w:rsidR="00E90485">
        <w:tc>
          <w:tcPr>
            <w:tcW w:w="4770" w:type="dxa"/>
            <w:gridSpan w:val="5"/>
            <w:shd w:val="clear" w:color="auto" w:fill="auto"/>
          </w:tcPr>
          <w:p w:rsidR="00E90485" w:rsidRDefault="00D013B1">
            <w:pPr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E90485" w:rsidRDefault="00D013B1" w:rsidP="00D013B1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Wilson and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Gisvold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Textbook of Organic medicinal and Pharmaceutical chemistry, Delgado JN,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Remers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WA, (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Eds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); 12th </w:t>
            </w:r>
            <w:proofErr w:type="spellStart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ed</w:t>
            </w:r>
            <w:proofErr w:type="spellEnd"/>
            <w:r w:rsidRPr="0052547A">
              <w:rPr>
                <w:rFonts w:ascii="Calibri" w:hAnsi="Calibri" w:cs="Calibri"/>
                <w:color w:val="000000"/>
                <w:sz w:val="28"/>
                <w:szCs w:val="28"/>
              </w:rPr>
              <w:t>, 2011</w:t>
            </w:r>
          </w:p>
        </w:tc>
      </w:tr>
      <w:tr w:rsidR="00E90485">
        <w:tc>
          <w:tcPr>
            <w:tcW w:w="4770" w:type="dxa"/>
            <w:gridSpan w:val="5"/>
            <w:shd w:val="clear" w:color="auto" w:fill="auto"/>
          </w:tcPr>
          <w:p w:rsidR="00E90485" w:rsidRDefault="00D013B1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E90485" w:rsidRDefault="00E90485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:rsidR="00E90485" w:rsidRDefault="00E90485">
      <w:pPr>
        <w:shd w:val="clear" w:color="auto" w:fill="FFFFFF"/>
        <w:spacing w:before="240" w:after="200"/>
        <w:ind w:left="360" w:right="-426"/>
        <w:jc w:val="both"/>
        <w:rPr>
          <w:rFonts w:ascii="Arial" w:eastAsia="Arial" w:hAnsi="Arial" w:cs="Arial"/>
          <w:sz w:val="28"/>
          <w:szCs w:val="28"/>
        </w:rPr>
      </w:pPr>
    </w:p>
    <w:p w:rsidR="00E90485" w:rsidRDefault="00E90485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E90485" w:rsidRDefault="00E90485">
      <w:bookmarkStart w:id="1" w:name="_gjdgxs" w:colFirst="0" w:colLast="0"/>
      <w:bookmarkEnd w:id="1"/>
    </w:p>
    <w:sectPr w:rsidR="00E904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5D22"/>
    <w:multiLevelType w:val="multilevel"/>
    <w:tmpl w:val="450E9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33574"/>
    <w:multiLevelType w:val="multilevel"/>
    <w:tmpl w:val="A634CC3A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0485"/>
    <w:rsid w:val="000C30D0"/>
    <w:rsid w:val="00110D0F"/>
    <w:rsid w:val="004547FE"/>
    <w:rsid w:val="00831134"/>
    <w:rsid w:val="008372D5"/>
    <w:rsid w:val="00CE25DC"/>
    <w:rsid w:val="00D013B1"/>
    <w:rsid w:val="00DE0043"/>
    <w:rsid w:val="00E656EA"/>
    <w:rsid w:val="00E90485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65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65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nab.abd@copharm.uobaghdad.edu.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hammed.hadi@copharm.uobaghdad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r.mahmoud@copharm.uobaghdad.edu.i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2024-02-19T22:11:00Z</dcterms:created>
  <dcterms:modified xsi:type="dcterms:W3CDTF">2024-09-21T17:08:00Z</dcterms:modified>
</cp:coreProperties>
</file>