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976A" w14:textId="77777777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6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418"/>
        <w:gridCol w:w="482"/>
        <w:gridCol w:w="53"/>
        <w:gridCol w:w="2070"/>
        <w:gridCol w:w="362"/>
        <w:gridCol w:w="2285"/>
        <w:gridCol w:w="1170"/>
        <w:gridCol w:w="1350"/>
      </w:tblGrid>
      <w:tr w:rsidR="001121E3" w:rsidRPr="00B80B61" w14:paraId="317DEA1E" w14:textId="77777777" w:rsidTr="004604C4">
        <w:tc>
          <w:tcPr>
            <w:tcW w:w="9657" w:type="dxa"/>
            <w:gridSpan w:val="9"/>
            <w:shd w:val="clear" w:color="auto" w:fill="DEEAF6"/>
          </w:tcPr>
          <w:p w14:paraId="19D5933A" w14:textId="3DB44452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1121E3" w:rsidRPr="00B80B61" w14:paraId="6A8C7D2F" w14:textId="77777777" w:rsidTr="004604C4">
        <w:tc>
          <w:tcPr>
            <w:tcW w:w="9657" w:type="dxa"/>
            <w:gridSpan w:val="9"/>
            <w:shd w:val="clear" w:color="auto" w:fill="auto"/>
          </w:tcPr>
          <w:p w14:paraId="468B56C4" w14:textId="148815AD" w:rsidR="001121E3" w:rsidRPr="00B80B61" w:rsidRDefault="00AE2F7D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val="en-AE" w:bidi="ar-IQ"/>
              </w:rPr>
              <w:t xml:space="preserve">Contemporary </w:t>
            </w:r>
            <w:r w:rsidR="00BB6902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Iraqi architecture</w:t>
            </w:r>
          </w:p>
        </w:tc>
      </w:tr>
      <w:tr w:rsidR="001121E3" w:rsidRPr="00B80B61" w14:paraId="0CC40E8C" w14:textId="77777777" w:rsidTr="004604C4">
        <w:tc>
          <w:tcPr>
            <w:tcW w:w="9657" w:type="dxa"/>
            <w:gridSpan w:val="9"/>
            <w:shd w:val="clear" w:color="auto" w:fill="DEEAF6"/>
          </w:tcPr>
          <w:p w14:paraId="2AAB6811" w14:textId="2AC75FD5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2F4BE7F0" w14:textId="77777777" w:rsidTr="004604C4">
        <w:tc>
          <w:tcPr>
            <w:tcW w:w="9657" w:type="dxa"/>
            <w:gridSpan w:val="9"/>
            <w:shd w:val="clear" w:color="auto" w:fill="auto"/>
          </w:tcPr>
          <w:p w14:paraId="586ED771" w14:textId="52EB5685" w:rsidR="001121E3" w:rsidRPr="00B80B61" w:rsidRDefault="00BC1960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C1960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H A H </w:t>
            </w:r>
            <w:r w:rsidR="00BB6902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5</w:t>
            </w:r>
            <w:r w:rsidRPr="00BC1960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0</w:t>
            </w:r>
            <w:r w:rsidR="00BB6902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7</w:t>
            </w:r>
          </w:p>
        </w:tc>
      </w:tr>
      <w:tr w:rsidR="001121E3" w:rsidRPr="00B80B61" w14:paraId="3DA024FC" w14:textId="77777777" w:rsidTr="004604C4">
        <w:tc>
          <w:tcPr>
            <w:tcW w:w="9657" w:type="dxa"/>
            <w:gridSpan w:val="9"/>
            <w:shd w:val="clear" w:color="auto" w:fill="DEEAF6"/>
          </w:tcPr>
          <w:p w14:paraId="0E0DAC85" w14:textId="05C3274D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1121E3" w:rsidRPr="00B80B61" w14:paraId="7A6785C3" w14:textId="77777777" w:rsidTr="004604C4">
        <w:tc>
          <w:tcPr>
            <w:tcW w:w="9657" w:type="dxa"/>
            <w:gridSpan w:val="9"/>
            <w:shd w:val="clear" w:color="auto" w:fill="auto"/>
          </w:tcPr>
          <w:p w14:paraId="43B7BA01" w14:textId="5A8D948F" w:rsidR="001121E3" w:rsidRPr="00B80B61" w:rsidRDefault="00BC1960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C1960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First semester 2023/2024</w:t>
            </w:r>
          </w:p>
        </w:tc>
      </w:tr>
      <w:tr w:rsidR="001121E3" w:rsidRPr="00B80B61" w14:paraId="7F3A11D9" w14:textId="77777777" w:rsidTr="004604C4">
        <w:tc>
          <w:tcPr>
            <w:tcW w:w="9657" w:type="dxa"/>
            <w:gridSpan w:val="9"/>
            <w:shd w:val="clear" w:color="auto" w:fill="DEEAF6"/>
          </w:tcPr>
          <w:p w14:paraId="70837C07" w14:textId="10A8A786" w:rsidR="001121E3" w:rsidRPr="00B80B61" w:rsidRDefault="00F74C41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="001121E3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BC1960" w:rsidRPr="00B80B61" w14:paraId="2EECCFD8" w14:textId="77777777" w:rsidTr="004604C4">
        <w:tc>
          <w:tcPr>
            <w:tcW w:w="9657" w:type="dxa"/>
            <w:gridSpan w:val="9"/>
            <w:shd w:val="clear" w:color="auto" w:fill="auto"/>
          </w:tcPr>
          <w:p w14:paraId="71CBB507" w14:textId="24FABCE9" w:rsidR="00BC1960" w:rsidRPr="00B80B61" w:rsidRDefault="00BC1960" w:rsidP="00BC1960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11/8/2024</w:t>
            </w:r>
          </w:p>
        </w:tc>
      </w:tr>
      <w:tr w:rsidR="00BC1960" w:rsidRPr="00B80B61" w14:paraId="4DDF8FA6" w14:textId="77777777" w:rsidTr="004604C4">
        <w:tc>
          <w:tcPr>
            <w:tcW w:w="9657" w:type="dxa"/>
            <w:gridSpan w:val="9"/>
            <w:shd w:val="clear" w:color="auto" w:fill="DEEAF6"/>
          </w:tcPr>
          <w:p w14:paraId="4DEE6683" w14:textId="312F7C5F" w:rsidR="00BC1960" w:rsidRPr="00B80B61" w:rsidRDefault="00BC1960" w:rsidP="00BC1960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BC1960" w:rsidRPr="00B80B61" w14:paraId="72B3FF2A" w14:textId="77777777" w:rsidTr="004604C4">
        <w:tc>
          <w:tcPr>
            <w:tcW w:w="9657" w:type="dxa"/>
            <w:gridSpan w:val="9"/>
            <w:shd w:val="clear" w:color="auto" w:fill="auto"/>
          </w:tcPr>
          <w:p w14:paraId="1496A7E7" w14:textId="6669F854" w:rsidR="00BC1960" w:rsidRPr="00B80B61" w:rsidRDefault="00BC1960" w:rsidP="00BC196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C196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Attendance only</w:t>
            </w:r>
          </w:p>
        </w:tc>
      </w:tr>
      <w:tr w:rsidR="00BC1960" w:rsidRPr="00B80B61" w14:paraId="7F049733" w14:textId="77777777" w:rsidTr="004604C4">
        <w:tc>
          <w:tcPr>
            <w:tcW w:w="9657" w:type="dxa"/>
            <w:gridSpan w:val="9"/>
            <w:shd w:val="clear" w:color="auto" w:fill="DEEAF6"/>
          </w:tcPr>
          <w:p w14:paraId="7E50DB93" w14:textId="77777777" w:rsidR="00BC1960" w:rsidRPr="00B80B61" w:rsidRDefault="00BC1960" w:rsidP="00BC1960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BC1960" w:rsidRPr="00B80B61" w14:paraId="555A1016" w14:textId="77777777" w:rsidTr="004604C4">
        <w:tc>
          <w:tcPr>
            <w:tcW w:w="9657" w:type="dxa"/>
            <w:gridSpan w:val="9"/>
            <w:shd w:val="clear" w:color="auto" w:fill="auto"/>
          </w:tcPr>
          <w:p w14:paraId="4A7A6AA5" w14:textId="1AE07BAD" w:rsidR="00BC1960" w:rsidRPr="00B80B61" w:rsidRDefault="00BC1960" w:rsidP="00BC196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C196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 hours/week. Number of units: 2 units</w:t>
            </w:r>
          </w:p>
        </w:tc>
      </w:tr>
      <w:tr w:rsidR="00BC1960" w:rsidRPr="00B80B61" w14:paraId="46F4DF37" w14:textId="77777777" w:rsidTr="004604C4">
        <w:tc>
          <w:tcPr>
            <w:tcW w:w="9657" w:type="dxa"/>
            <w:gridSpan w:val="9"/>
            <w:shd w:val="clear" w:color="auto" w:fill="DEEAF6"/>
          </w:tcPr>
          <w:p w14:paraId="7B27F527" w14:textId="38CE6323" w:rsidR="00BC1960" w:rsidRPr="00B02F18" w:rsidRDefault="00BC1960" w:rsidP="00BC1960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BC1960" w:rsidRPr="00B80B61" w14:paraId="0F9B8C2A" w14:textId="77777777" w:rsidTr="004604C4">
        <w:tc>
          <w:tcPr>
            <w:tcW w:w="9657" w:type="dxa"/>
            <w:gridSpan w:val="9"/>
            <w:shd w:val="clear" w:color="auto" w:fill="auto"/>
          </w:tcPr>
          <w:p w14:paraId="780E193E" w14:textId="3A5E532A" w:rsidR="00BC1960" w:rsidRDefault="00BC1960" w:rsidP="00BC196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Pr="00BC1960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Asst. Prof. Dr. Fawzia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Irhayyim</w:t>
            </w:r>
            <w:proofErr w:type="spellEnd"/>
            <w:r w:rsidRPr="00BC1960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Hussein</w:t>
            </w:r>
          </w:p>
          <w:p w14:paraId="3B24192C" w14:textId="77176B0D" w:rsidR="00BC1960" w:rsidRDefault="00BC1960" w:rsidP="00BC196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570739">
                <w:rPr>
                  <w:rStyle w:val="Hyperlink"/>
                  <w:rFonts w:ascii="Cambria" w:eastAsia="Calibri" w:hAnsi="Cambria" w:cs="Times New Roman"/>
                  <w:sz w:val="24"/>
                  <w:szCs w:val="24"/>
                  <w:lang w:val="en-AE" w:bidi="ar-IQ"/>
                </w:rPr>
                <w:t>fawziaasadi@coeng.uobaghdad.edu.iq</w:t>
              </w:r>
            </w:hyperlink>
          </w:p>
          <w:p w14:paraId="72E67ECE" w14:textId="77777777" w:rsidR="00BC1960" w:rsidRPr="00B80B61" w:rsidRDefault="00BC1960" w:rsidP="00BC196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C1960" w:rsidRPr="00B80B61" w14:paraId="51090FE5" w14:textId="77777777" w:rsidTr="004604C4">
        <w:tc>
          <w:tcPr>
            <w:tcW w:w="9657" w:type="dxa"/>
            <w:gridSpan w:val="9"/>
            <w:shd w:val="clear" w:color="auto" w:fill="DEEAF6"/>
          </w:tcPr>
          <w:p w14:paraId="5D5CED50" w14:textId="77777777" w:rsidR="00BC1960" w:rsidRPr="00B80B61" w:rsidRDefault="00BC1960" w:rsidP="00BC1960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C1960" w:rsidRPr="00B80B61" w14:paraId="6B662ADB" w14:textId="77777777" w:rsidTr="004604C4">
        <w:tc>
          <w:tcPr>
            <w:tcW w:w="2420" w:type="dxa"/>
            <w:gridSpan w:val="4"/>
            <w:shd w:val="clear" w:color="auto" w:fill="auto"/>
          </w:tcPr>
          <w:p w14:paraId="63B3AB5E" w14:textId="77777777" w:rsidR="00BC1960" w:rsidRPr="00B80B61" w:rsidRDefault="00BC1960" w:rsidP="00BC196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7237" w:type="dxa"/>
            <w:gridSpan w:val="5"/>
            <w:shd w:val="clear" w:color="auto" w:fill="auto"/>
          </w:tcPr>
          <w:p w14:paraId="07CD55ED" w14:textId="148AD72F" w:rsidR="00BC1960" w:rsidRPr="00BC1960" w:rsidRDefault="00BB6902" w:rsidP="00BC1960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2"/>
                <w:szCs w:val="22"/>
                <w:rtl/>
                <w:lang w:bidi="ar-IQ"/>
              </w:rPr>
            </w:pPr>
            <w:r w:rsidRPr="00BB6902">
              <w:rPr>
                <w:rFonts w:ascii="Simplified Arabic" w:eastAsia="Calibri" w:hAnsi="Simplified Arabic" w:cs="Simplified Arabic"/>
                <w:sz w:val="22"/>
                <w:szCs w:val="22"/>
                <w:lang w:bidi="ar-IQ"/>
              </w:rPr>
              <w:t xml:space="preserve">The subject focuses on studying Iraqi architecture from the late nineteenth century until the end of the twentieth century, </w:t>
            </w:r>
            <w:r w:rsidR="00563418">
              <w:rPr>
                <w:rFonts w:ascii="Simplified Arabic" w:eastAsia="Calibri" w:hAnsi="Simplified Arabic" w:cs="Simplified Arabic"/>
                <w:sz w:val="22"/>
                <w:szCs w:val="22"/>
                <w:lang w:bidi="ar-IQ"/>
              </w:rPr>
              <w:t>emphasizing</w:t>
            </w:r>
            <w:r w:rsidRPr="00BB6902">
              <w:rPr>
                <w:rFonts w:ascii="Simplified Arabic" w:eastAsia="Calibri" w:hAnsi="Simplified Arabic" w:cs="Simplified Arabic"/>
                <w:sz w:val="22"/>
                <w:szCs w:val="22"/>
                <w:lang w:bidi="ar-IQ"/>
              </w:rPr>
              <w:t xml:space="preserve"> the most important conceptual and applied transformations during the various decades and diagnosing the most important civilizational and cultural influences that accompanied those transformations.</w:t>
            </w:r>
          </w:p>
        </w:tc>
      </w:tr>
      <w:tr w:rsidR="00BC1960" w:rsidRPr="00B80B61" w14:paraId="58EC4CC3" w14:textId="77777777" w:rsidTr="004604C4">
        <w:tc>
          <w:tcPr>
            <w:tcW w:w="9657" w:type="dxa"/>
            <w:gridSpan w:val="9"/>
            <w:shd w:val="clear" w:color="auto" w:fill="DEEAF6"/>
          </w:tcPr>
          <w:p w14:paraId="4986F185" w14:textId="77777777" w:rsidR="00BC1960" w:rsidRPr="00B80B61" w:rsidRDefault="00BC1960" w:rsidP="00BC1960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BC1960" w:rsidRPr="00B80B61" w14:paraId="2818180F" w14:textId="77777777" w:rsidTr="004604C4">
        <w:tc>
          <w:tcPr>
            <w:tcW w:w="1885" w:type="dxa"/>
            <w:gridSpan w:val="2"/>
            <w:shd w:val="clear" w:color="auto" w:fill="auto"/>
          </w:tcPr>
          <w:p w14:paraId="7C49BFAF" w14:textId="77777777" w:rsidR="00BC1960" w:rsidRPr="00B80B61" w:rsidRDefault="00BC1960" w:rsidP="00BC196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7772" w:type="dxa"/>
            <w:gridSpan w:val="7"/>
            <w:shd w:val="clear" w:color="auto" w:fill="auto"/>
          </w:tcPr>
          <w:p w14:paraId="27A6A39B" w14:textId="77777777" w:rsidR="00BB6902" w:rsidRPr="00BB6902" w:rsidRDefault="00BB6902" w:rsidP="00BB6902">
            <w:pPr>
              <w:shd w:val="clear" w:color="auto" w:fill="FFFFFF"/>
              <w:autoSpaceDE w:val="0"/>
              <w:autoSpaceDN w:val="0"/>
              <w:adjustRightInd w:val="0"/>
              <w:ind w:left="193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B690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1. Interactive Lectures</w:t>
            </w:r>
          </w:p>
          <w:p w14:paraId="3EDF4587" w14:textId="77777777" w:rsidR="00BB6902" w:rsidRPr="00BB6902" w:rsidRDefault="00BB6902" w:rsidP="00BB6902">
            <w:pPr>
              <w:shd w:val="clear" w:color="auto" w:fill="FFFFFF"/>
              <w:autoSpaceDE w:val="0"/>
              <w:autoSpaceDN w:val="0"/>
              <w:adjustRightInd w:val="0"/>
              <w:ind w:left="193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B690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2. Case Studies</w:t>
            </w:r>
          </w:p>
          <w:p w14:paraId="167B2C2E" w14:textId="77777777" w:rsidR="00BB6902" w:rsidRPr="00BB6902" w:rsidRDefault="00BB6902" w:rsidP="00BB6902">
            <w:pPr>
              <w:shd w:val="clear" w:color="auto" w:fill="FFFFFF"/>
              <w:autoSpaceDE w:val="0"/>
              <w:autoSpaceDN w:val="0"/>
              <w:adjustRightInd w:val="0"/>
              <w:ind w:left="193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B690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4. Student Presentations</w:t>
            </w:r>
          </w:p>
          <w:p w14:paraId="0E5A95EA" w14:textId="77777777" w:rsidR="00BB6902" w:rsidRPr="00BB6902" w:rsidRDefault="00BB6902" w:rsidP="00BB6902">
            <w:pPr>
              <w:shd w:val="clear" w:color="auto" w:fill="FFFFFF"/>
              <w:autoSpaceDE w:val="0"/>
              <w:autoSpaceDN w:val="0"/>
              <w:adjustRightInd w:val="0"/>
              <w:ind w:left="193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B690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5. Analytical Essays</w:t>
            </w:r>
          </w:p>
          <w:p w14:paraId="09694F69" w14:textId="68F605AA" w:rsidR="00BC1960" w:rsidRPr="00BC1960" w:rsidRDefault="00BB6902" w:rsidP="00BB6902">
            <w:pPr>
              <w:shd w:val="clear" w:color="auto" w:fill="FFFFFF"/>
              <w:autoSpaceDE w:val="0"/>
              <w:autoSpaceDN w:val="0"/>
              <w:adjustRightInd w:val="0"/>
              <w:ind w:left="19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  <w:r w:rsidRPr="00BB690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. </w:t>
            </w:r>
            <w:r w:rsidR="0056341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Open-book quizzes</w:t>
            </w:r>
            <w:r w:rsidRPr="00BB690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and Discussions</w:t>
            </w:r>
          </w:p>
        </w:tc>
      </w:tr>
      <w:tr w:rsidR="00BC1960" w:rsidRPr="00B80B61" w14:paraId="552FCC21" w14:textId="77777777" w:rsidTr="004604C4">
        <w:tc>
          <w:tcPr>
            <w:tcW w:w="9657" w:type="dxa"/>
            <w:gridSpan w:val="9"/>
            <w:shd w:val="clear" w:color="auto" w:fill="DEEAF6"/>
          </w:tcPr>
          <w:p w14:paraId="3F5FB1AB" w14:textId="77777777" w:rsidR="00BC1960" w:rsidRPr="00B80B61" w:rsidRDefault="00BC1960" w:rsidP="00BC1960">
            <w:pPr>
              <w:numPr>
                <w:ilvl w:val="0"/>
                <w:numId w:val="48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4604C4" w:rsidRPr="00B80B61" w14:paraId="34C7557C" w14:textId="77777777" w:rsidTr="004604C4">
        <w:trPr>
          <w:trHeight w:val="182"/>
        </w:trPr>
        <w:tc>
          <w:tcPr>
            <w:tcW w:w="1467" w:type="dxa"/>
            <w:shd w:val="clear" w:color="auto" w:fill="BDD6EE"/>
          </w:tcPr>
          <w:p w14:paraId="25B6F41E" w14:textId="5224630D" w:rsidR="004604C4" w:rsidRPr="00897803" w:rsidRDefault="004604C4" w:rsidP="004604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BDD6EE"/>
          </w:tcPr>
          <w:p w14:paraId="76BFEC7A" w14:textId="77777777" w:rsidR="004604C4" w:rsidRPr="00897803" w:rsidRDefault="004604C4" w:rsidP="004604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485" w:type="dxa"/>
            <w:gridSpan w:val="3"/>
            <w:shd w:val="clear" w:color="auto" w:fill="BDD6EE"/>
          </w:tcPr>
          <w:p w14:paraId="3BDFEC65" w14:textId="13F34679" w:rsidR="004604C4" w:rsidRPr="00897803" w:rsidRDefault="004604C4" w:rsidP="004604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2285" w:type="dxa"/>
            <w:shd w:val="clear" w:color="auto" w:fill="BDD6EE"/>
          </w:tcPr>
          <w:p w14:paraId="187CC412" w14:textId="10F8AA2F" w:rsidR="004604C4" w:rsidRPr="00897803" w:rsidRDefault="004604C4" w:rsidP="004604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1170" w:type="dxa"/>
            <w:shd w:val="clear" w:color="auto" w:fill="BDD6EE"/>
          </w:tcPr>
          <w:p w14:paraId="057AB72A" w14:textId="77777777" w:rsidR="004604C4" w:rsidRPr="00897803" w:rsidRDefault="004604C4" w:rsidP="004604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350" w:type="dxa"/>
            <w:shd w:val="clear" w:color="auto" w:fill="BDD6EE"/>
          </w:tcPr>
          <w:p w14:paraId="4FD18AD1" w14:textId="77777777" w:rsidR="004604C4" w:rsidRPr="00897803" w:rsidRDefault="004604C4" w:rsidP="004604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4604C4" w:rsidRPr="00B80B61" w14:paraId="787270F4" w14:textId="77777777" w:rsidTr="00563418">
        <w:trPr>
          <w:cantSplit/>
          <w:trHeight w:val="288"/>
        </w:trPr>
        <w:tc>
          <w:tcPr>
            <w:tcW w:w="1467" w:type="dxa"/>
            <w:shd w:val="clear" w:color="auto" w:fill="auto"/>
          </w:tcPr>
          <w:p w14:paraId="5E273C8E" w14:textId="56A4E2BB" w:rsidR="004604C4" w:rsidRPr="004604C4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13" w:right="2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val="en-AE"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  <w:t>1</w:t>
            </w:r>
            <w:r w:rsidRPr="004604C4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  <w:lang w:val="en-AE" w:bidi="ar-IQ"/>
              </w:rPr>
              <w:t>st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  <w:t xml:space="preserve"> week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24AEA81" w14:textId="3A800108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right="-35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3F3C0BDC" w14:textId="46A944CB" w:rsidR="004604C4" w:rsidRPr="00D97B7F" w:rsidRDefault="00563418" w:rsidP="004604C4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  <w:t>Baghdad from the end of the Abbasid state until the Ottoman occupation, the most important remaining monuments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14:paraId="66ADE409" w14:textId="77777777" w:rsidR="00563418" w:rsidRPr="00563418" w:rsidRDefault="00563418" w:rsidP="00563418">
            <w:pPr>
              <w:shd w:val="clear" w:color="auto" w:fill="FFFFFF"/>
              <w:autoSpaceDE w:val="0"/>
              <w:autoSpaceDN w:val="0"/>
              <w:adjustRightInd w:val="0"/>
              <w:ind w:left="18" w:right="168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1. Deep understanding of the development of contemporary Iraqi architecture</w:t>
            </w:r>
          </w:p>
          <w:p w14:paraId="38122395" w14:textId="77777777" w:rsidR="00563418" w:rsidRPr="00563418" w:rsidRDefault="00563418" w:rsidP="00563418">
            <w:pPr>
              <w:shd w:val="clear" w:color="auto" w:fill="FFFFFF"/>
              <w:autoSpaceDE w:val="0"/>
              <w:autoSpaceDN w:val="0"/>
              <w:adjustRightInd w:val="0"/>
              <w:ind w:left="18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2. Analysis of design and architectural elements</w:t>
            </w:r>
          </w:p>
          <w:p w14:paraId="2AEBDDB4" w14:textId="77777777" w:rsidR="00563418" w:rsidRPr="00563418" w:rsidRDefault="00563418" w:rsidP="00563418">
            <w:pPr>
              <w:shd w:val="clear" w:color="auto" w:fill="FFFFFF"/>
              <w:autoSpaceDE w:val="0"/>
              <w:autoSpaceDN w:val="0"/>
              <w:adjustRightInd w:val="0"/>
              <w:ind w:left="18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3. Identify prominent Iraqi architects</w:t>
            </w:r>
          </w:p>
          <w:p w14:paraId="35A4FC50" w14:textId="77777777" w:rsidR="00563418" w:rsidRPr="00563418" w:rsidRDefault="00563418" w:rsidP="00563418">
            <w:pPr>
              <w:shd w:val="clear" w:color="auto" w:fill="FFFFFF"/>
              <w:autoSpaceDE w:val="0"/>
              <w:autoSpaceDN w:val="0"/>
              <w:adjustRightInd w:val="0"/>
              <w:ind w:left="18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4. Application of architectural theories and concepts</w:t>
            </w:r>
          </w:p>
          <w:p w14:paraId="7D9FD45B" w14:textId="15704C34" w:rsidR="004604C4" w:rsidRPr="00B80B61" w:rsidRDefault="00563418" w:rsidP="00563418">
            <w:pPr>
              <w:shd w:val="clear" w:color="auto" w:fill="FFFFFF"/>
              <w:autoSpaceDE w:val="0"/>
              <w:autoSpaceDN w:val="0"/>
              <w:adjustRightInd w:val="0"/>
              <w:ind w:left="18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5. Critical and comparative thinking</w:t>
            </w:r>
          </w:p>
        </w:tc>
        <w:tc>
          <w:tcPr>
            <w:tcW w:w="1170" w:type="dxa"/>
            <w:vMerge w:val="restart"/>
            <w:shd w:val="clear" w:color="auto" w:fill="auto"/>
            <w:textDirection w:val="tbRl"/>
          </w:tcPr>
          <w:p w14:paraId="77A2944D" w14:textId="101B8946" w:rsidR="004604C4" w:rsidRPr="00B80B61" w:rsidRDefault="00563418" w:rsidP="004604C4">
            <w:pPr>
              <w:shd w:val="clear" w:color="auto" w:fill="FFFFFF"/>
              <w:autoSpaceDE w:val="0"/>
              <w:autoSpaceDN w:val="0"/>
              <w:adjustRightInd w:val="0"/>
              <w:ind w:left="35" w:right="-44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6327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attendees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332047E2" w14:textId="2023CB69" w:rsidR="004604C4" w:rsidRPr="00B80B61" w:rsidRDefault="00563418" w:rsidP="00563418">
            <w:pPr>
              <w:shd w:val="clear" w:color="auto" w:fill="FFFFFF"/>
              <w:autoSpaceDE w:val="0"/>
              <w:autoSpaceDN w:val="0"/>
              <w:adjustRightInd w:val="0"/>
              <w:ind w:left="34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100</w:t>
            </w:r>
          </w:p>
        </w:tc>
      </w:tr>
      <w:tr w:rsidR="004604C4" w:rsidRPr="00B80B61" w14:paraId="74D6CDF0" w14:textId="77777777" w:rsidTr="004604C4">
        <w:trPr>
          <w:cantSplit/>
          <w:trHeight w:val="324"/>
        </w:trPr>
        <w:tc>
          <w:tcPr>
            <w:tcW w:w="1467" w:type="dxa"/>
            <w:shd w:val="clear" w:color="auto" w:fill="auto"/>
          </w:tcPr>
          <w:p w14:paraId="17FC67CE" w14:textId="6ABA8F1C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13" w:right="2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2</w:t>
            </w:r>
            <w:r w:rsidRPr="004604C4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>nd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  <w:t>week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9271477" w14:textId="5BB45C42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right="-35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7B48EFC5" w14:textId="211A596F" w:rsidR="004604C4" w:rsidRPr="00D97B7F" w:rsidRDefault="00563418" w:rsidP="004604C4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  <w:t>The Ottomans in Iraq, Iraqi architecture under Ottoman rule</w:t>
            </w:r>
          </w:p>
        </w:tc>
        <w:tc>
          <w:tcPr>
            <w:tcW w:w="2285" w:type="dxa"/>
            <w:vMerge/>
            <w:shd w:val="clear" w:color="auto" w:fill="auto"/>
            <w:textDirection w:val="tbRl"/>
            <w:vAlign w:val="center"/>
          </w:tcPr>
          <w:p w14:paraId="382350E7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DE37CF8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35" w:right="-44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5B3E01C5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604C4" w:rsidRPr="00B80B61" w14:paraId="25A29D76" w14:textId="77777777" w:rsidTr="004604C4">
        <w:trPr>
          <w:cantSplit/>
          <w:trHeight w:val="336"/>
        </w:trPr>
        <w:tc>
          <w:tcPr>
            <w:tcW w:w="1467" w:type="dxa"/>
            <w:shd w:val="clear" w:color="auto" w:fill="auto"/>
          </w:tcPr>
          <w:p w14:paraId="79D0DDE9" w14:textId="3D02F90D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13" w:right="2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  <w:r w:rsidRPr="004604C4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 xml:space="preserve">ed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  <w:t>week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CDE1C78" w14:textId="31442D5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right="-35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4FF705EE" w14:textId="28FD6368" w:rsidR="004604C4" w:rsidRPr="00D97B7F" w:rsidRDefault="00563418" w:rsidP="004604C4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  <w:t>Baghdad in the last decades of the nineteenth century, the reformist governors in Baghdad</w:t>
            </w:r>
          </w:p>
        </w:tc>
        <w:tc>
          <w:tcPr>
            <w:tcW w:w="2285" w:type="dxa"/>
            <w:vMerge/>
            <w:shd w:val="clear" w:color="auto" w:fill="auto"/>
            <w:textDirection w:val="tbRl"/>
            <w:vAlign w:val="center"/>
          </w:tcPr>
          <w:p w14:paraId="52AB493C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0257178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35" w:right="-44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077EC6F0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604C4" w:rsidRPr="00B80B61" w14:paraId="721254B5" w14:textId="77777777" w:rsidTr="004604C4">
        <w:trPr>
          <w:cantSplit/>
          <w:trHeight w:val="324"/>
        </w:trPr>
        <w:tc>
          <w:tcPr>
            <w:tcW w:w="1467" w:type="dxa"/>
            <w:shd w:val="clear" w:color="auto" w:fill="auto"/>
          </w:tcPr>
          <w:p w14:paraId="75A358DC" w14:textId="20A83374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13" w:right="2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  <w:r w:rsidRPr="004604C4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 xml:space="preserve">rth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  <w:t>week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694E124" w14:textId="1F8C2286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right="-35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688DE73C" w14:textId="4255F9E4" w:rsidR="004604C4" w:rsidRPr="00D97B7F" w:rsidRDefault="00563418" w:rsidP="004604C4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  <w:t>Architectural and structural formations in the architecture of the Ottoman era in Iraq</w:t>
            </w:r>
          </w:p>
        </w:tc>
        <w:tc>
          <w:tcPr>
            <w:tcW w:w="2285" w:type="dxa"/>
            <w:vMerge/>
            <w:shd w:val="clear" w:color="auto" w:fill="auto"/>
            <w:textDirection w:val="tbRl"/>
            <w:vAlign w:val="center"/>
          </w:tcPr>
          <w:p w14:paraId="26ECDBBD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67B6AD8F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35" w:right="-44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662D4739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604C4" w:rsidRPr="00B80B61" w14:paraId="2F307B7C" w14:textId="77777777" w:rsidTr="004604C4">
        <w:trPr>
          <w:cantSplit/>
          <w:trHeight w:val="300"/>
        </w:trPr>
        <w:tc>
          <w:tcPr>
            <w:tcW w:w="1467" w:type="dxa"/>
            <w:shd w:val="clear" w:color="auto" w:fill="auto"/>
          </w:tcPr>
          <w:p w14:paraId="1C722757" w14:textId="3F7CE2DD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13" w:right="2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  <w:r w:rsidRPr="004604C4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 xml:space="preserve">th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  <w:t>week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25BFEC8" w14:textId="5E151FD5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right="-35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7E4A381D" w14:textId="23E2EEF3" w:rsidR="004604C4" w:rsidRPr="00D97B7F" w:rsidRDefault="00563418" w:rsidP="004604C4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  <w:t>The Germans in Iraq and their architectural influence</w:t>
            </w:r>
          </w:p>
        </w:tc>
        <w:tc>
          <w:tcPr>
            <w:tcW w:w="2285" w:type="dxa"/>
            <w:vMerge/>
            <w:shd w:val="clear" w:color="auto" w:fill="auto"/>
            <w:textDirection w:val="tbRl"/>
            <w:vAlign w:val="center"/>
          </w:tcPr>
          <w:p w14:paraId="00579B3D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BEB1973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35" w:right="-44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453C23A6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604C4" w:rsidRPr="00B80B61" w14:paraId="13E7202E" w14:textId="77777777" w:rsidTr="004604C4">
        <w:trPr>
          <w:cantSplit/>
          <w:trHeight w:val="336"/>
        </w:trPr>
        <w:tc>
          <w:tcPr>
            <w:tcW w:w="1467" w:type="dxa"/>
            <w:shd w:val="clear" w:color="auto" w:fill="auto"/>
          </w:tcPr>
          <w:p w14:paraId="2B1BE5BA" w14:textId="7111B20F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13" w:right="2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 xml:space="preserve">th 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  <w:t>week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848DBDF" w14:textId="6B730E36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right="-35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4E27E8E8" w14:textId="6C287947" w:rsidR="004604C4" w:rsidRPr="00D97B7F" w:rsidRDefault="00563418" w:rsidP="004604C4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  <w:t>The British in Iraq, Baghdad at the beginning of the occupation, urban development in the early twentieth century</w:t>
            </w:r>
          </w:p>
        </w:tc>
        <w:tc>
          <w:tcPr>
            <w:tcW w:w="2285" w:type="dxa"/>
            <w:vMerge/>
            <w:shd w:val="clear" w:color="auto" w:fill="auto"/>
            <w:textDirection w:val="tbRl"/>
            <w:vAlign w:val="center"/>
          </w:tcPr>
          <w:p w14:paraId="6C1EDF86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77721050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35" w:right="-44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6DE8B7FC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604C4" w:rsidRPr="00B80B61" w14:paraId="1A8182FE" w14:textId="77777777" w:rsidTr="004604C4">
        <w:trPr>
          <w:cantSplit/>
          <w:trHeight w:val="228"/>
        </w:trPr>
        <w:tc>
          <w:tcPr>
            <w:tcW w:w="1467" w:type="dxa"/>
            <w:shd w:val="clear" w:color="auto" w:fill="auto"/>
          </w:tcPr>
          <w:p w14:paraId="66BD6B60" w14:textId="58A33A0D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13" w:right="2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 xml:space="preserve">th 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  <w:t>week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BCD41B5" w14:textId="37F513AC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right="-35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5C5E6B95" w14:textId="6171834D" w:rsidR="004604C4" w:rsidRPr="00D97B7F" w:rsidRDefault="00563418" w:rsidP="004604C4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  <w:t>Settlement architecture in Iraq</w:t>
            </w:r>
          </w:p>
        </w:tc>
        <w:tc>
          <w:tcPr>
            <w:tcW w:w="2285" w:type="dxa"/>
            <w:vMerge/>
            <w:shd w:val="clear" w:color="auto" w:fill="auto"/>
            <w:textDirection w:val="tbRl"/>
            <w:vAlign w:val="center"/>
          </w:tcPr>
          <w:p w14:paraId="2D522120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2CD94FA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35" w:right="-44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63D9182E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604C4" w:rsidRPr="00B80B61" w14:paraId="40522446" w14:textId="77777777" w:rsidTr="004604C4">
        <w:trPr>
          <w:cantSplit/>
          <w:trHeight w:val="192"/>
        </w:trPr>
        <w:tc>
          <w:tcPr>
            <w:tcW w:w="1467" w:type="dxa"/>
            <w:shd w:val="clear" w:color="auto" w:fill="auto"/>
          </w:tcPr>
          <w:p w14:paraId="70842E43" w14:textId="03EFD30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13" w:right="2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 xml:space="preserve">th 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  <w:t>week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9EFB442" w14:textId="5000703F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right="-35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1BE2FB74" w14:textId="0A3C6A92" w:rsidR="004604C4" w:rsidRPr="00D97B7F" w:rsidRDefault="00563418" w:rsidP="004604C4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  <w:t>Exam</w:t>
            </w:r>
          </w:p>
        </w:tc>
        <w:tc>
          <w:tcPr>
            <w:tcW w:w="2285" w:type="dxa"/>
            <w:vMerge/>
            <w:shd w:val="clear" w:color="auto" w:fill="auto"/>
            <w:textDirection w:val="tbRl"/>
            <w:vAlign w:val="center"/>
          </w:tcPr>
          <w:p w14:paraId="6DD562CF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E3C9EF4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35" w:right="-44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66AAC4F0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604C4" w:rsidRPr="00B80B61" w14:paraId="5A82C4A0" w14:textId="77777777" w:rsidTr="004604C4">
        <w:trPr>
          <w:cantSplit/>
          <w:trHeight w:val="276"/>
        </w:trPr>
        <w:tc>
          <w:tcPr>
            <w:tcW w:w="1467" w:type="dxa"/>
            <w:shd w:val="clear" w:color="auto" w:fill="auto"/>
          </w:tcPr>
          <w:p w14:paraId="6A76A060" w14:textId="0E188B8D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13" w:right="2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 xml:space="preserve">th 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  <w:t>week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3F37AFC" w14:textId="3BDEF4A8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right="-35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0EC1F5E8" w14:textId="52C9BADF" w:rsidR="004604C4" w:rsidRPr="00D97B7F" w:rsidRDefault="00563418" w:rsidP="004604C4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  <w:t>Iraqi architecture under national rule, architecture in the thirties</w:t>
            </w:r>
          </w:p>
        </w:tc>
        <w:tc>
          <w:tcPr>
            <w:tcW w:w="2285" w:type="dxa"/>
            <w:vMerge/>
            <w:shd w:val="clear" w:color="auto" w:fill="auto"/>
            <w:textDirection w:val="tbRl"/>
            <w:vAlign w:val="center"/>
          </w:tcPr>
          <w:p w14:paraId="42038F63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DA09518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35" w:right="-44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3484822D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604C4" w:rsidRPr="00B80B61" w14:paraId="05CCD428" w14:textId="77777777" w:rsidTr="004604C4">
        <w:trPr>
          <w:cantSplit/>
          <w:trHeight w:val="264"/>
        </w:trPr>
        <w:tc>
          <w:tcPr>
            <w:tcW w:w="1467" w:type="dxa"/>
            <w:shd w:val="clear" w:color="auto" w:fill="auto"/>
          </w:tcPr>
          <w:p w14:paraId="094202DC" w14:textId="4C38A21E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13" w:right="2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 xml:space="preserve">th 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  <w:t>week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47458CF" w14:textId="735CADB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right="-35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3E7FE174" w14:textId="771FFAA9" w:rsidR="004604C4" w:rsidRPr="00D97B7F" w:rsidRDefault="00563418" w:rsidP="004604C4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  <w:t>The development of the concept of the Iraqi house</w:t>
            </w:r>
          </w:p>
        </w:tc>
        <w:tc>
          <w:tcPr>
            <w:tcW w:w="2285" w:type="dxa"/>
            <w:vMerge/>
            <w:shd w:val="clear" w:color="auto" w:fill="auto"/>
            <w:textDirection w:val="tbRl"/>
            <w:vAlign w:val="center"/>
          </w:tcPr>
          <w:p w14:paraId="4AF8FA54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CA84487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35" w:right="-44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6E59CAFA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604C4" w:rsidRPr="00B80B61" w14:paraId="197BDEAE" w14:textId="77777777" w:rsidTr="004604C4">
        <w:trPr>
          <w:cantSplit/>
          <w:trHeight w:val="168"/>
        </w:trPr>
        <w:tc>
          <w:tcPr>
            <w:tcW w:w="1467" w:type="dxa"/>
            <w:shd w:val="clear" w:color="auto" w:fill="auto"/>
          </w:tcPr>
          <w:p w14:paraId="031D831E" w14:textId="63579903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13" w:right="2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 xml:space="preserve">th 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  <w:t>week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E3BD6CB" w14:textId="458139C5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right="-35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78ABD965" w14:textId="7FB569A3" w:rsidR="004604C4" w:rsidRPr="00D97B7F" w:rsidRDefault="00563418" w:rsidP="004604C4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  <w:t>Iraqi architectural scientific missions abroad, the first generation of pioneering Iraqi architects</w:t>
            </w:r>
          </w:p>
        </w:tc>
        <w:tc>
          <w:tcPr>
            <w:tcW w:w="2285" w:type="dxa"/>
            <w:vMerge/>
            <w:shd w:val="clear" w:color="auto" w:fill="auto"/>
            <w:textDirection w:val="tbRl"/>
            <w:vAlign w:val="center"/>
          </w:tcPr>
          <w:p w14:paraId="73BFDDF7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2B34AB0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35" w:right="-44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53450273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604C4" w:rsidRPr="00B80B61" w14:paraId="2AFD782F" w14:textId="77777777" w:rsidTr="004604C4">
        <w:trPr>
          <w:cantSplit/>
          <w:trHeight w:val="192"/>
        </w:trPr>
        <w:tc>
          <w:tcPr>
            <w:tcW w:w="1467" w:type="dxa"/>
            <w:shd w:val="clear" w:color="auto" w:fill="auto"/>
          </w:tcPr>
          <w:p w14:paraId="1DFBBE03" w14:textId="737D36FE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13" w:right="2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 xml:space="preserve">th 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  <w:t>week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DB54571" w14:textId="099210D0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right="-35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0E35DD6A" w14:textId="17171303" w:rsidR="004604C4" w:rsidRPr="00D97B7F" w:rsidRDefault="00563418" w:rsidP="004604C4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  <w:t>Iraqi architecture in the fifties</w:t>
            </w:r>
          </w:p>
        </w:tc>
        <w:tc>
          <w:tcPr>
            <w:tcW w:w="2285" w:type="dxa"/>
            <w:vMerge/>
            <w:shd w:val="clear" w:color="auto" w:fill="auto"/>
            <w:textDirection w:val="tbRl"/>
            <w:vAlign w:val="center"/>
          </w:tcPr>
          <w:p w14:paraId="437BEB6C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040365C1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35" w:right="-44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11635696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604C4" w:rsidRPr="00B80B61" w14:paraId="61C88D6B" w14:textId="77777777" w:rsidTr="004604C4">
        <w:trPr>
          <w:cantSplit/>
          <w:trHeight w:val="154"/>
        </w:trPr>
        <w:tc>
          <w:tcPr>
            <w:tcW w:w="1467" w:type="dxa"/>
            <w:shd w:val="clear" w:color="auto" w:fill="auto"/>
          </w:tcPr>
          <w:p w14:paraId="3E43F481" w14:textId="7B5288DD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13" w:right="2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 xml:space="preserve">th 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  <w:t>week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007C477" w14:textId="439BB1A9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right="-35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5508EDA2" w14:textId="1E7BB3E5" w:rsidR="004604C4" w:rsidRPr="00D97B7F" w:rsidRDefault="00563418" w:rsidP="004604C4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  <w:t>Pioneering Iraqi architects, continuation</w:t>
            </w:r>
          </w:p>
        </w:tc>
        <w:tc>
          <w:tcPr>
            <w:tcW w:w="2285" w:type="dxa"/>
            <w:vMerge/>
            <w:shd w:val="clear" w:color="auto" w:fill="auto"/>
            <w:textDirection w:val="tbRl"/>
            <w:vAlign w:val="center"/>
          </w:tcPr>
          <w:p w14:paraId="529148FA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AA97297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35" w:right="-44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419DE78B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604C4" w:rsidRPr="00B80B61" w14:paraId="6681BC89" w14:textId="77777777" w:rsidTr="004604C4">
        <w:trPr>
          <w:cantSplit/>
          <w:trHeight w:val="204"/>
        </w:trPr>
        <w:tc>
          <w:tcPr>
            <w:tcW w:w="1467" w:type="dxa"/>
            <w:shd w:val="clear" w:color="auto" w:fill="auto"/>
          </w:tcPr>
          <w:p w14:paraId="6D511BF4" w14:textId="237DA1A5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13" w:right="2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 xml:space="preserve">th 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  <w:t>week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BAA46D1" w14:textId="46FB7FC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right="-35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2E6B9E69" w14:textId="657CE889" w:rsidR="004604C4" w:rsidRPr="00D97B7F" w:rsidRDefault="00563418" w:rsidP="004604C4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  <w:t>The sixties and seventies, Iraqi architecture between globalism and heritage inspiration</w:t>
            </w:r>
          </w:p>
        </w:tc>
        <w:tc>
          <w:tcPr>
            <w:tcW w:w="2285" w:type="dxa"/>
            <w:vMerge/>
            <w:shd w:val="clear" w:color="auto" w:fill="auto"/>
            <w:textDirection w:val="tbRl"/>
            <w:vAlign w:val="center"/>
          </w:tcPr>
          <w:p w14:paraId="71A8FDDB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7B1FA0FB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35" w:right="-44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076FC914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604C4" w:rsidRPr="00B80B61" w14:paraId="7B77B4FC" w14:textId="77777777" w:rsidTr="004604C4">
        <w:trPr>
          <w:cantSplit/>
          <w:trHeight w:val="108"/>
        </w:trPr>
        <w:tc>
          <w:tcPr>
            <w:tcW w:w="1467" w:type="dxa"/>
            <w:shd w:val="clear" w:color="auto" w:fill="auto"/>
          </w:tcPr>
          <w:p w14:paraId="31F8593D" w14:textId="50555F9E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13" w:right="2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  <w:lang w:bidi="ar-IQ"/>
              </w:rPr>
              <w:t xml:space="preserve">th </w:t>
            </w:r>
            <w:r w:rsidRPr="00BF4B9C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AE" w:bidi="ar-IQ"/>
              </w:rPr>
              <w:t>week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F844BCF" w14:textId="3961D7E6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right="-35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85" w:type="dxa"/>
            <w:gridSpan w:val="3"/>
            <w:shd w:val="clear" w:color="auto" w:fill="auto"/>
          </w:tcPr>
          <w:p w14:paraId="315D0517" w14:textId="1E6A8B70" w:rsidR="004604C4" w:rsidRPr="00D97B7F" w:rsidRDefault="00563418" w:rsidP="004604C4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</w:pPr>
            <w:r w:rsidRPr="00563418">
              <w:rPr>
                <w:rFonts w:ascii="Cambria" w:eastAsia="Calibri" w:hAnsi="Cambria" w:cs="Times New Roman"/>
                <w:color w:val="000000"/>
                <w:sz w:val="22"/>
                <w:szCs w:val="22"/>
                <w:lang w:val="en-AE" w:bidi="ar-IQ"/>
              </w:rPr>
              <w:t>Iraqi architecture under explosiveness, architecture of the eighties</w:t>
            </w:r>
          </w:p>
        </w:tc>
        <w:tc>
          <w:tcPr>
            <w:tcW w:w="2285" w:type="dxa"/>
            <w:vMerge/>
            <w:shd w:val="clear" w:color="auto" w:fill="auto"/>
            <w:textDirection w:val="tbRl"/>
            <w:vAlign w:val="center"/>
          </w:tcPr>
          <w:p w14:paraId="5899025E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00FCC724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35" w:right="-44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7C704E45" w14:textId="77777777" w:rsidR="004604C4" w:rsidRPr="00B80B61" w:rsidRDefault="004604C4" w:rsidP="004604C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604C4" w:rsidRPr="00B80B61" w14:paraId="7735037C" w14:textId="77777777" w:rsidTr="004604C4">
        <w:tc>
          <w:tcPr>
            <w:tcW w:w="9657" w:type="dxa"/>
            <w:gridSpan w:val="9"/>
            <w:shd w:val="clear" w:color="auto" w:fill="DEEAF6"/>
          </w:tcPr>
          <w:p w14:paraId="59644842" w14:textId="77777777" w:rsidR="004604C4" w:rsidRPr="00B80B61" w:rsidRDefault="004604C4" w:rsidP="004604C4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4604C4" w:rsidRPr="00B80B61" w14:paraId="1CE317D4" w14:textId="77777777" w:rsidTr="004604C4">
        <w:trPr>
          <w:trHeight w:val="1940"/>
        </w:trPr>
        <w:tc>
          <w:tcPr>
            <w:tcW w:w="9657" w:type="dxa"/>
            <w:gridSpan w:val="9"/>
            <w:shd w:val="clear" w:color="auto" w:fill="auto"/>
          </w:tcPr>
          <w:p w14:paraId="47D3A162" w14:textId="21B518E9" w:rsidR="004604C4" w:rsidRPr="00E6327A" w:rsidRDefault="004604C4" w:rsidP="004604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E6327A">
              <w:rPr>
                <w:rFonts w:ascii="Cambria" w:eastAsia="Calibri" w:hAnsi="Cambria" w:cs="Times New Roman"/>
                <w:color w:val="000000"/>
                <w:sz w:val="22"/>
                <w:szCs w:val="22"/>
              </w:rPr>
              <w:lastRenderedPageBreak/>
              <w:t>The grade is distributed out of 100 according to the tasks assigned to the student, such as daily submission, daily, oral, monthly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</w:rPr>
              <w:t>,</w:t>
            </w:r>
            <w:r w:rsidRPr="00E6327A">
              <w:rPr>
                <w:rFonts w:ascii="Cambria" w:eastAsia="Calibri" w:hAnsi="Cambria" w:cs="Times New Roman"/>
                <w:color w:val="000000"/>
                <w:sz w:val="22"/>
                <w:szCs w:val="22"/>
              </w:rPr>
              <w:t xml:space="preserve"> and written exams, reports, etc. The course includes two semesters, 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</w:rPr>
              <w:t xml:space="preserve">and </w:t>
            </w:r>
            <w:r w:rsidRPr="00E6327A">
              <w:rPr>
                <w:rFonts w:ascii="Cambria" w:eastAsia="Calibri" w:hAnsi="Cambria" w:cs="Times New Roman"/>
                <w:color w:val="000000"/>
                <w:sz w:val="22"/>
                <w:szCs w:val="22"/>
              </w:rPr>
              <w:t>the total effort grades are 70% divided into two projects for each semester, each semester 35% is divided into the total of the initial and final submissions for the semester, while the remaining 30% is divided into three or four external exams that are not related to the projects of the two semesters, and the grades obtained from 70% are added + the total grades for the external exams 30% to become the result of 100%</w:t>
            </w:r>
          </w:p>
        </w:tc>
      </w:tr>
      <w:tr w:rsidR="004604C4" w:rsidRPr="00B80B61" w14:paraId="12F4FF3C" w14:textId="77777777" w:rsidTr="004604C4">
        <w:tc>
          <w:tcPr>
            <w:tcW w:w="9657" w:type="dxa"/>
            <w:gridSpan w:val="9"/>
            <w:shd w:val="clear" w:color="auto" w:fill="DEEAF6"/>
          </w:tcPr>
          <w:p w14:paraId="4F15D0B8" w14:textId="77777777" w:rsidR="004604C4" w:rsidRPr="00B80B61" w:rsidRDefault="004604C4" w:rsidP="004604C4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4604C4" w:rsidRPr="00B80B61" w14:paraId="02BE89EB" w14:textId="77777777" w:rsidTr="004604C4">
        <w:tc>
          <w:tcPr>
            <w:tcW w:w="4490" w:type="dxa"/>
            <w:gridSpan w:val="5"/>
            <w:shd w:val="clear" w:color="auto" w:fill="auto"/>
          </w:tcPr>
          <w:p w14:paraId="5BF052D9" w14:textId="6FC804FD" w:rsidR="004604C4" w:rsidRPr="00B80B61" w:rsidRDefault="004604C4" w:rsidP="004604C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167" w:type="dxa"/>
            <w:gridSpan w:val="4"/>
            <w:shd w:val="clear" w:color="auto" w:fill="auto"/>
          </w:tcPr>
          <w:p w14:paraId="2DA7358F" w14:textId="3EE0F2EA" w:rsidR="004604C4" w:rsidRPr="00B61E81" w:rsidRDefault="004604C4" w:rsidP="004604C4">
            <w:pPr>
              <w:pStyle w:val="ListParagraph"/>
              <w:tabs>
                <w:tab w:val="left" w:pos="292"/>
              </w:tabs>
              <w:spacing w:after="0"/>
              <w:ind w:left="112"/>
              <w:outlineLvl w:val="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61E81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Architectural Visions book is a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systematic</w:t>
            </w:r>
            <w:r w:rsidRPr="00B61E81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 book</w:t>
            </w:r>
          </w:p>
        </w:tc>
      </w:tr>
      <w:tr w:rsidR="004604C4" w:rsidRPr="00B80B61" w14:paraId="26BA8198" w14:textId="77777777" w:rsidTr="004604C4">
        <w:tc>
          <w:tcPr>
            <w:tcW w:w="4490" w:type="dxa"/>
            <w:gridSpan w:val="5"/>
            <w:shd w:val="clear" w:color="auto" w:fill="auto"/>
          </w:tcPr>
          <w:p w14:paraId="62BD9D1D" w14:textId="77777777" w:rsidR="004604C4" w:rsidRPr="00B80B61" w:rsidRDefault="004604C4" w:rsidP="004604C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167" w:type="dxa"/>
            <w:gridSpan w:val="4"/>
            <w:shd w:val="clear" w:color="auto" w:fill="auto"/>
          </w:tcPr>
          <w:p w14:paraId="1F4149D7" w14:textId="77D22F9A" w:rsidR="004604C4" w:rsidRPr="00B61E81" w:rsidRDefault="004604C4" w:rsidP="004604C4">
            <w:pPr>
              <w:pStyle w:val="ListParagraph"/>
              <w:tabs>
                <w:tab w:val="left" w:pos="292"/>
              </w:tabs>
              <w:spacing w:after="0"/>
              <w:ind w:left="112"/>
              <w:outlineLvl w:val="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61E81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Books and writings by Iraqi architects</w:t>
            </w:r>
          </w:p>
        </w:tc>
      </w:tr>
      <w:tr w:rsidR="004604C4" w:rsidRPr="00B80B61" w14:paraId="733FF489" w14:textId="77777777" w:rsidTr="004604C4">
        <w:tc>
          <w:tcPr>
            <w:tcW w:w="4490" w:type="dxa"/>
            <w:gridSpan w:val="5"/>
            <w:shd w:val="clear" w:color="auto" w:fill="auto"/>
          </w:tcPr>
          <w:p w14:paraId="5C0A5871" w14:textId="77777777" w:rsidR="004604C4" w:rsidRPr="00B80B61" w:rsidRDefault="004604C4" w:rsidP="004604C4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167" w:type="dxa"/>
            <w:gridSpan w:val="4"/>
            <w:shd w:val="clear" w:color="auto" w:fill="auto"/>
          </w:tcPr>
          <w:p w14:paraId="13EFD80C" w14:textId="4614BF62" w:rsidR="004604C4" w:rsidRPr="00B61E81" w:rsidRDefault="004604C4" w:rsidP="004604C4">
            <w:pPr>
              <w:pStyle w:val="ListParagraph"/>
              <w:tabs>
                <w:tab w:val="left" w:pos="292"/>
              </w:tabs>
              <w:spacing w:after="0"/>
              <w:ind w:left="112"/>
              <w:outlineLvl w:val="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61E81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A collection of books and theses in the library of the architectural department</w:t>
            </w:r>
          </w:p>
        </w:tc>
      </w:tr>
      <w:tr w:rsidR="004604C4" w:rsidRPr="00B80B61" w14:paraId="4C5639AD" w14:textId="77777777" w:rsidTr="004604C4">
        <w:tc>
          <w:tcPr>
            <w:tcW w:w="4490" w:type="dxa"/>
            <w:gridSpan w:val="5"/>
            <w:shd w:val="clear" w:color="auto" w:fill="auto"/>
          </w:tcPr>
          <w:p w14:paraId="7795241A" w14:textId="77777777" w:rsidR="004604C4" w:rsidRPr="00B80B61" w:rsidRDefault="004604C4" w:rsidP="004604C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5167" w:type="dxa"/>
            <w:gridSpan w:val="4"/>
            <w:shd w:val="clear" w:color="auto" w:fill="auto"/>
          </w:tcPr>
          <w:p w14:paraId="2F96EEDC" w14:textId="1472A146" w:rsidR="004604C4" w:rsidRPr="00E6327A" w:rsidRDefault="004604C4" w:rsidP="004604C4">
            <w:pPr>
              <w:pStyle w:val="ListParagraph"/>
              <w:tabs>
                <w:tab w:val="left" w:pos="292"/>
              </w:tabs>
              <w:spacing w:after="0"/>
              <w:ind w:left="112"/>
              <w:outlineLvl w:val="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61E81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A group of websites on the Internet, such as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the </w:t>
            </w:r>
            <w:r w:rsidRPr="00B61E81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Al-Mada newspaper and Elaph website, specialize in writing about Iraqi architecture.</w:t>
            </w:r>
          </w:p>
        </w:tc>
      </w:tr>
    </w:tbl>
    <w:p w14:paraId="22EF6DD4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551889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99B144B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D663086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4607620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3A05D68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A2BFF9A" w14:textId="77777777"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4F97FDA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AA9DEC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792466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07649B4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12027C">
      <w:footerReference w:type="default" r:id="rId10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0F774" w14:textId="77777777" w:rsidR="00B02C77" w:rsidRDefault="00B02C77">
      <w:r>
        <w:separator/>
      </w:r>
    </w:p>
  </w:endnote>
  <w:endnote w:type="continuationSeparator" w:id="0">
    <w:p w14:paraId="6E72A9C0" w14:textId="77777777" w:rsidR="00B02C77" w:rsidRDefault="00B0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77777777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000687" w:rsidRPr="00000687">
            <w:rPr>
              <w:rFonts w:ascii="Cambria" w:hAnsi="Cambria"/>
              <w:b/>
              <w:noProof/>
            </w:rPr>
            <w:t>2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7781C" w14:textId="77777777" w:rsidR="00B02C77" w:rsidRDefault="00B02C77">
      <w:r>
        <w:separator/>
      </w:r>
    </w:p>
  </w:footnote>
  <w:footnote w:type="continuationSeparator" w:id="0">
    <w:p w14:paraId="74F8AC58" w14:textId="77777777" w:rsidR="00B02C77" w:rsidRDefault="00B0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3C1B"/>
    <w:multiLevelType w:val="hybridMultilevel"/>
    <w:tmpl w:val="1070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A136B"/>
    <w:multiLevelType w:val="multilevel"/>
    <w:tmpl w:val="6570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72F04"/>
    <w:multiLevelType w:val="multilevel"/>
    <w:tmpl w:val="E51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3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4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C66C0"/>
    <w:multiLevelType w:val="multilevel"/>
    <w:tmpl w:val="47EE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8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6" w15:restartNumberingAfterBreak="0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0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CC0A8F"/>
    <w:multiLevelType w:val="hybridMultilevel"/>
    <w:tmpl w:val="A540020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6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1382853">
    <w:abstractNumId w:val="22"/>
  </w:num>
  <w:num w:numId="2" w16cid:durableId="1044135744">
    <w:abstractNumId w:val="52"/>
  </w:num>
  <w:num w:numId="3" w16cid:durableId="146091946">
    <w:abstractNumId w:val="20"/>
  </w:num>
  <w:num w:numId="4" w16cid:durableId="766076821">
    <w:abstractNumId w:val="8"/>
  </w:num>
  <w:num w:numId="5" w16cid:durableId="1452941169">
    <w:abstractNumId w:val="11"/>
  </w:num>
  <w:num w:numId="6" w16cid:durableId="3828759">
    <w:abstractNumId w:val="38"/>
  </w:num>
  <w:num w:numId="7" w16cid:durableId="308094734">
    <w:abstractNumId w:val="41"/>
  </w:num>
  <w:num w:numId="8" w16cid:durableId="1278173269">
    <w:abstractNumId w:val="37"/>
  </w:num>
  <w:num w:numId="9" w16cid:durableId="9182351">
    <w:abstractNumId w:val="40"/>
  </w:num>
  <w:num w:numId="10" w16cid:durableId="1648390987">
    <w:abstractNumId w:val="15"/>
  </w:num>
  <w:num w:numId="11" w16cid:durableId="106894578">
    <w:abstractNumId w:val="13"/>
  </w:num>
  <w:num w:numId="12" w16cid:durableId="1491559720">
    <w:abstractNumId w:val="1"/>
  </w:num>
  <w:num w:numId="13" w16cid:durableId="1684504501">
    <w:abstractNumId w:val="48"/>
  </w:num>
  <w:num w:numId="14" w16cid:durableId="814569600">
    <w:abstractNumId w:val="53"/>
  </w:num>
  <w:num w:numId="15" w16cid:durableId="161164540">
    <w:abstractNumId w:val="5"/>
  </w:num>
  <w:num w:numId="16" w16cid:durableId="1156532021">
    <w:abstractNumId w:val="33"/>
  </w:num>
  <w:num w:numId="17" w16cid:durableId="846868193">
    <w:abstractNumId w:val="23"/>
  </w:num>
  <w:num w:numId="18" w16cid:durableId="364259079">
    <w:abstractNumId w:val="51"/>
  </w:num>
  <w:num w:numId="19" w16cid:durableId="796721640">
    <w:abstractNumId w:val="27"/>
  </w:num>
  <w:num w:numId="20" w16cid:durableId="1250381754">
    <w:abstractNumId w:val="7"/>
  </w:num>
  <w:num w:numId="21" w16cid:durableId="1559054978">
    <w:abstractNumId w:val="50"/>
  </w:num>
  <w:num w:numId="22" w16cid:durableId="687416138">
    <w:abstractNumId w:val="30"/>
  </w:num>
  <w:num w:numId="23" w16cid:durableId="160170562">
    <w:abstractNumId w:val="16"/>
  </w:num>
  <w:num w:numId="24" w16cid:durableId="1633176215">
    <w:abstractNumId w:val="46"/>
  </w:num>
  <w:num w:numId="25" w16cid:durableId="734398149">
    <w:abstractNumId w:val="2"/>
  </w:num>
  <w:num w:numId="26" w16cid:durableId="1245257503">
    <w:abstractNumId w:val="44"/>
  </w:num>
  <w:num w:numId="27" w16cid:durableId="834957765">
    <w:abstractNumId w:val="21"/>
  </w:num>
  <w:num w:numId="28" w16cid:durableId="1564097833">
    <w:abstractNumId w:val="42"/>
  </w:num>
  <w:num w:numId="29" w16cid:durableId="1982030571">
    <w:abstractNumId w:val="31"/>
  </w:num>
  <w:num w:numId="30" w16cid:durableId="623314435">
    <w:abstractNumId w:val="12"/>
  </w:num>
  <w:num w:numId="31" w16cid:durableId="1397126667">
    <w:abstractNumId w:val="24"/>
  </w:num>
  <w:num w:numId="32" w16cid:durableId="1051883118">
    <w:abstractNumId w:val="49"/>
  </w:num>
  <w:num w:numId="33" w16cid:durableId="1466894761">
    <w:abstractNumId w:val="6"/>
  </w:num>
  <w:num w:numId="34" w16cid:durableId="2013414453">
    <w:abstractNumId w:val="17"/>
  </w:num>
  <w:num w:numId="35" w16cid:durableId="221643599">
    <w:abstractNumId w:val="10"/>
  </w:num>
  <w:num w:numId="36" w16cid:durableId="645403018">
    <w:abstractNumId w:val="34"/>
  </w:num>
  <w:num w:numId="37" w16cid:durableId="1354068311">
    <w:abstractNumId w:val="14"/>
  </w:num>
  <w:num w:numId="38" w16cid:durableId="1840580378">
    <w:abstractNumId w:val="36"/>
  </w:num>
  <w:num w:numId="39" w16cid:durableId="1209142546">
    <w:abstractNumId w:val="9"/>
  </w:num>
  <w:num w:numId="40" w16cid:durableId="1073158167">
    <w:abstractNumId w:val="47"/>
  </w:num>
  <w:num w:numId="41" w16cid:durableId="792670536">
    <w:abstractNumId w:val="39"/>
  </w:num>
  <w:num w:numId="42" w16cid:durableId="860822066">
    <w:abstractNumId w:val="29"/>
  </w:num>
  <w:num w:numId="43" w16cid:durableId="591200579">
    <w:abstractNumId w:val="18"/>
  </w:num>
  <w:num w:numId="44" w16cid:durableId="166017308">
    <w:abstractNumId w:val="43"/>
  </w:num>
  <w:num w:numId="45" w16cid:durableId="1527063219">
    <w:abstractNumId w:val="35"/>
  </w:num>
  <w:num w:numId="46" w16cid:durableId="1992826705">
    <w:abstractNumId w:val="0"/>
  </w:num>
  <w:num w:numId="47" w16cid:durableId="608046102">
    <w:abstractNumId w:val="32"/>
  </w:num>
  <w:num w:numId="48" w16cid:durableId="1509173380">
    <w:abstractNumId w:val="26"/>
  </w:num>
  <w:num w:numId="49" w16cid:durableId="1126776675">
    <w:abstractNumId w:val="28"/>
  </w:num>
  <w:num w:numId="50" w16cid:durableId="73093977">
    <w:abstractNumId w:val="19"/>
  </w:num>
  <w:num w:numId="51" w16cid:durableId="1290354347">
    <w:abstractNumId w:val="4"/>
  </w:num>
  <w:num w:numId="52" w16cid:durableId="2042776855">
    <w:abstractNumId w:val="25"/>
  </w:num>
  <w:num w:numId="53" w16cid:durableId="980304810">
    <w:abstractNumId w:val="3"/>
  </w:num>
  <w:num w:numId="54" w16cid:durableId="33380149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A"/>
    <w:rsid w:val="00000687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92819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B49DE"/>
    <w:rsid w:val="001C1CD7"/>
    <w:rsid w:val="001D3B40"/>
    <w:rsid w:val="001D678C"/>
    <w:rsid w:val="001E2A40"/>
    <w:rsid w:val="001E491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8218C"/>
    <w:rsid w:val="002857ED"/>
    <w:rsid w:val="00291C28"/>
    <w:rsid w:val="00297E64"/>
    <w:rsid w:val="002A172E"/>
    <w:rsid w:val="002A1AF6"/>
    <w:rsid w:val="002A5AC8"/>
    <w:rsid w:val="002B28B2"/>
    <w:rsid w:val="002B3426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7BC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24BA"/>
    <w:rsid w:val="003F5080"/>
    <w:rsid w:val="003F6248"/>
    <w:rsid w:val="00406DC6"/>
    <w:rsid w:val="004361D7"/>
    <w:rsid w:val="00452B00"/>
    <w:rsid w:val="004570B9"/>
    <w:rsid w:val="004604C4"/>
    <w:rsid w:val="004662C5"/>
    <w:rsid w:val="0048407D"/>
    <w:rsid w:val="00485C21"/>
    <w:rsid w:val="00494454"/>
    <w:rsid w:val="004A4634"/>
    <w:rsid w:val="004A6A6D"/>
    <w:rsid w:val="004A6CAF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63418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B7146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4F39"/>
    <w:rsid w:val="006D6630"/>
    <w:rsid w:val="006E0C8C"/>
    <w:rsid w:val="007028BA"/>
    <w:rsid w:val="00704757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D4CFD"/>
    <w:rsid w:val="007E7D56"/>
    <w:rsid w:val="007F319C"/>
    <w:rsid w:val="007F4AC0"/>
    <w:rsid w:val="007F57BE"/>
    <w:rsid w:val="0080774B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B1371"/>
    <w:rsid w:val="008B2E37"/>
    <w:rsid w:val="008B65D4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49F3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44D30"/>
    <w:rsid w:val="00A53B00"/>
    <w:rsid w:val="00A61B66"/>
    <w:rsid w:val="00A658DD"/>
    <w:rsid w:val="00A676A4"/>
    <w:rsid w:val="00A700BE"/>
    <w:rsid w:val="00A717B0"/>
    <w:rsid w:val="00A85288"/>
    <w:rsid w:val="00A864FF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E2F7D"/>
    <w:rsid w:val="00AF09DD"/>
    <w:rsid w:val="00AF5BC7"/>
    <w:rsid w:val="00B02265"/>
    <w:rsid w:val="00B02C77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1E81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B6902"/>
    <w:rsid w:val="00BC1960"/>
    <w:rsid w:val="00BC76C0"/>
    <w:rsid w:val="00BE4995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3DB3"/>
    <w:rsid w:val="00C85B2D"/>
    <w:rsid w:val="00C90C62"/>
    <w:rsid w:val="00C958F4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2A1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97B7F"/>
    <w:rsid w:val="00DA0BDD"/>
    <w:rsid w:val="00DA0CAB"/>
    <w:rsid w:val="00DA5DEE"/>
    <w:rsid w:val="00DB131F"/>
    <w:rsid w:val="00DB6397"/>
    <w:rsid w:val="00DB7B31"/>
    <w:rsid w:val="00DC5FB3"/>
    <w:rsid w:val="00DD27C0"/>
    <w:rsid w:val="00DF01A9"/>
    <w:rsid w:val="00E17DF2"/>
    <w:rsid w:val="00E24400"/>
    <w:rsid w:val="00E2684E"/>
    <w:rsid w:val="00E34E2B"/>
    <w:rsid w:val="00E4594B"/>
    <w:rsid w:val="00E45BCA"/>
    <w:rsid w:val="00E61516"/>
    <w:rsid w:val="00E6327A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1C5A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0412F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7C7C4"/>
  <w15:chartTrackingRefBased/>
  <w15:docId w15:val="{AAFDECD3-2704-4BD9-9FCD-0E124706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dTable2-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character" w:styleId="Hyperlink">
    <w:name w:val="Hyperlink"/>
    <w:rsid w:val="00BC19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awziaasadi@coeng.uobaghdad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AC7854-8864-4CEF-B4BA-E277AB18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fawzia asadi</cp:lastModifiedBy>
  <cp:revision>2</cp:revision>
  <cp:lastPrinted>2024-01-23T07:51:00Z</cp:lastPrinted>
  <dcterms:created xsi:type="dcterms:W3CDTF">2025-02-21T19:36:00Z</dcterms:created>
  <dcterms:modified xsi:type="dcterms:W3CDTF">2025-02-21T19:36:00Z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a2098e41edba9dcc00baadef7e2d05c3050d6976d149d1279c0332b77419fb4e</vt:lpwstr>
  </property>
</Properties>
</file>