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81" w:rsidRPr="00EE06F8" w:rsidRDefault="00791E81" w:rsidP="008A1F7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 w:hint="cs"/>
          <w:b/>
          <w:bCs/>
          <w:sz w:val="32"/>
          <w:szCs w:val="32"/>
          <w:rtl/>
        </w:rPr>
        <w:t>ن</w:t>
      </w:r>
      <w:r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791E81" w:rsidRDefault="00791E81" w:rsidP="008A1F75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91E81" w:rsidRPr="00B947A5" w:rsidRDefault="00791E81" w:rsidP="008A1F75">
      <w:pPr>
        <w:autoSpaceDE w:val="0"/>
        <w:autoSpaceDN w:val="0"/>
        <w:adjustRightInd w:val="0"/>
        <w:rPr>
          <w:rFonts w:ascii="Cambria" w:hAnsi="Cambria" w:cs="Times New Roman"/>
          <w:sz w:val="28"/>
          <w:szCs w:val="28"/>
          <w:rtl/>
          <w:lang w:bidi="ar-IQ"/>
        </w:rPr>
      </w:pPr>
      <w:r w:rsidRPr="00B947A5">
        <w:rPr>
          <w:rFonts w:ascii="Cambria" w:hAnsi="Cambria" w:cs="Times New Roman"/>
          <w:sz w:val="28"/>
          <w:szCs w:val="28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794"/>
        </w:trPr>
        <w:tc>
          <w:tcPr>
            <w:tcW w:w="9720" w:type="dxa"/>
            <w:shd w:val="clear" w:color="auto" w:fill="A7BFDE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91E81" w:rsidRPr="00E734E3" w:rsidRDefault="00791E81" w:rsidP="008A1F75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91E81" w:rsidRPr="00DB131F" w:rsidTr="00110640">
        <w:trPr>
          <w:trHeight w:val="624"/>
          <w:jc w:val="center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791E81" w:rsidRPr="00565F3C" w:rsidRDefault="00565F3C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كليه </w:t>
            </w:r>
            <w:r w:rsidR="00D76F78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علوم الهندسة الزراعية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جامعه بغداد 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القسم</w:t>
            </w:r>
            <w:r w:rsidR="00565F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علوم المحاصيل </w:t>
            </w:r>
            <w:r w:rsidR="007443D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الحقلية</w:t>
            </w:r>
            <w:r w:rsidR="00565F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E41F9C" w:rsidRDefault="00E41F9C" w:rsidP="00E41F9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تكنلوجيا معدات مكافحة ادغال/</w:t>
            </w:r>
            <w:r w:rsidRPr="00E41F9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456fcwc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084F88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المحاصيل </w:t>
            </w:r>
            <w:r w:rsidR="00D76F7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الحقلية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823004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2300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في القاعات المخصصة وحسب التوقيت والجدول المعلن /الزامي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823004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2300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الربيعي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السنة الرابعة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1E45F8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45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 ساعات أسبوعيا بواقع 2 ساعة نظري + 3 ساعات عملي</w:t>
            </w:r>
          </w:p>
        </w:tc>
      </w:tr>
      <w:tr w:rsidR="00791E81" w:rsidRPr="00DB131F" w:rsidTr="00110640">
        <w:trPr>
          <w:trHeight w:val="624"/>
          <w:jc w:val="center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9D7A15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 /</w:t>
            </w:r>
            <w:r w:rsidR="00D76F7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20</w:t>
            </w:r>
            <w:r w:rsidR="00D76F7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110640">
        <w:trPr>
          <w:trHeight w:val="725"/>
          <w:jc w:val="center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91E81" w:rsidRPr="00DB131F" w:rsidTr="00110640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91E81" w:rsidRDefault="009D7A15" w:rsidP="008A1F75">
            <w:pPr>
              <w:autoSpaceDE w:val="0"/>
              <w:autoSpaceDN w:val="0"/>
              <w:adjustRightInd w:val="0"/>
              <w:ind w:left="360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تهدف الى تعليم الطلبة </w:t>
            </w:r>
            <w:r w:rsidR="007443D2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معدات مكافحة الادغال و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طرق مكافحة الادغال المختلفة الميكانيكية والبيولوجية والكيمائية والمنافسة والدورة الزراعية ومكافحة الادغال في المحاصيل الرئيسية وفي المشاتل والبساتين وفي قنوات الري والبزل وكيفية إجراء المكافحة وحساب المادة التجارية </w:t>
            </w:r>
            <w:r w:rsidR="00823004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للمبيدات.</w:t>
            </w:r>
            <w:r w:rsidR="007443D2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110640" w:rsidRDefault="00110640" w:rsidP="008A1F75">
            <w:pPr>
              <w:autoSpaceDE w:val="0"/>
              <w:autoSpaceDN w:val="0"/>
              <w:adjustRightInd w:val="0"/>
              <w:ind w:left="360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110640" w:rsidRDefault="00110640" w:rsidP="008A1F75">
            <w:pPr>
              <w:autoSpaceDE w:val="0"/>
              <w:autoSpaceDN w:val="0"/>
              <w:adjustRightInd w:val="0"/>
              <w:ind w:left="360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110640" w:rsidRDefault="00110640" w:rsidP="008A1F75">
            <w:pPr>
              <w:autoSpaceDE w:val="0"/>
              <w:autoSpaceDN w:val="0"/>
              <w:adjustRightInd w:val="0"/>
              <w:ind w:left="360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110640" w:rsidRDefault="00110640" w:rsidP="008A1F75">
            <w:pPr>
              <w:autoSpaceDE w:val="0"/>
              <w:autoSpaceDN w:val="0"/>
              <w:adjustRightInd w:val="0"/>
              <w:ind w:left="360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  <w:p w:rsidR="009D7A15" w:rsidRPr="00DB131F" w:rsidRDefault="009D7A15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20555A" w:rsidRDefault="00791E81" w:rsidP="008A1F75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791E81" w:rsidRPr="00DB131F" w:rsidTr="00060622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الطلبه من الحصول على </w:t>
            </w:r>
            <w:r w:rsidR="007443D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المعرفة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العلم بمجال مكافحه الادغال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بطرق مكافحه الادغال المختلفه .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بانواع المبيدات الكيمياويه و طرق و اوقات استخدامها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الطلبه كيفيه اجراء عمليه المكافحه عمليا في الحقل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3B5A6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الطلبه كيفيه استخدام اجهزه الرش للمبيدات </w:t>
            </w:r>
            <w:r w:rsidR="001B06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 كيفيه تعيير المرشه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  <w:r w:rsidR="001B06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الطلبه كيفيه التعامل مع متبقيات المبيدات داخل نطاق الحقل و كيف نقلل من الفقد في المبيد.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B06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060622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26394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26394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الطلبه على نوع الادغال و المواعيد الحرجه لعمليه المكافحه . 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6394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6394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اجراء تجارب المكافحه المختلفه و التمييز بينها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="0026394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الطلبه حقليا طرق حساب كثافه الادغال و طرق اخذ القياسات  بعد المكافحه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</w:t>
            </w:r>
            <w:r w:rsidR="0026394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اكساب الطلبه مهارات السيطرة على الحقل و خلوه من الادغال 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060622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263948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تزويد الطلبه بالمحاضرات و الاساسيات الخاصه بالمقرر . </w:t>
            </w:r>
          </w:p>
          <w:p w:rsidR="00791E81" w:rsidRPr="00DB131F" w:rsidRDefault="00263948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استخدام اساليب العرض المختلفه . </w:t>
            </w:r>
          </w:p>
          <w:p w:rsidR="00791E81" w:rsidRPr="00DB131F" w:rsidRDefault="00263948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الطلبه على استخدام المصادر الخارجيه و مراجعة المكتبه فيما يخص المادة . </w:t>
            </w:r>
          </w:p>
          <w:p w:rsidR="00791E81" w:rsidRPr="00DB131F" w:rsidRDefault="00263948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 </w:t>
            </w:r>
            <w:r w:rsidR="0039755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9755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اجراء الممارسات الحقليه امام الطلبه و حثهم على المتابعه الحقليه . </w:t>
            </w:r>
          </w:p>
        </w:tc>
      </w:tr>
      <w:tr w:rsidR="00791E81" w:rsidRPr="00DB131F" w:rsidTr="00060622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39755C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اجراء الامتحانات اليوميه و الشهريه و النقاش المستمر حول موضوع المقرر .</w:t>
            </w:r>
          </w:p>
          <w:p w:rsidR="00791E81" w:rsidRPr="00DB131F" w:rsidRDefault="0039755C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تقييم الطلبه على مشاركاتهم في البحوث و التقارير حول الماده . </w:t>
            </w:r>
          </w:p>
          <w:p w:rsidR="00791E81" w:rsidRPr="00DB131F" w:rsidRDefault="0039755C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تكليفهم ببعض الواجبات اليوميه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الاسئله الاستنتاجيه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ايجاد الحلول للمعوقات التي تصادف الطلبه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حثهم على تطبيق التجارب الحقليه و المختبريه . 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حثهم على اجراء عمليه المكافحه .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060622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3D03B2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تكليف الطلاب باجراء البحوث و التقارير . </w:t>
            </w:r>
          </w:p>
          <w:p w:rsidR="00791E81" w:rsidRPr="00DB131F" w:rsidRDefault="003D03B2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تكليف الطلبه بجمع المصادر من المكتبه .</w:t>
            </w:r>
          </w:p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D03B2" w:rsidRPr="00DB131F" w:rsidRDefault="003D03B2" w:rsidP="0011064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اجراء الامتحانات اليوميه و الشهريه و النقاش المستمر حول موضوع المقرر .</w:t>
            </w:r>
          </w:p>
          <w:p w:rsidR="003D03B2" w:rsidRPr="00DB131F" w:rsidRDefault="003D03B2" w:rsidP="008A1F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تقييم الطلبه على مشاركاتهم في البحوث و التقارير حول الماده . </w:t>
            </w:r>
          </w:p>
          <w:p w:rsidR="00791E81" w:rsidRPr="00DB131F" w:rsidRDefault="003D03B2" w:rsidP="006255A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تكليفهم ببعض الواجبات اليوميه . </w:t>
            </w:r>
          </w:p>
        </w:tc>
      </w:tr>
      <w:tr w:rsidR="00791E81" w:rsidRPr="00DB131F" w:rsidTr="00060622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791E81" w:rsidRPr="00DB131F" w:rsidRDefault="00791E81" w:rsidP="008A1F7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كيفيه الاستفادة من المصادر العلميه. </w:t>
            </w:r>
          </w:p>
          <w:p w:rsidR="00791E81" w:rsidRPr="00DB131F" w:rsidRDefault="00791E81" w:rsidP="008A1F7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3D03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اسلوب الطالب في نقل المعلومات .</w:t>
            </w:r>
          </w:p>
          <w:p w:rsidR="00791E81" w:rsidRPr="00DB131F" w:rsidRDefault="00791E81" w:rsidP="008A1F7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E04B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الطالب على اجراء البحوث الحقليه .</w:t>
            </w:r>
          </w:p>
          <w:p w:rsidR="00791E81" w:rsidRPr="00DB131F" w:rsidRDefault="00791E81" w:rsidP="008A1F7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8375D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تدريب الطالب على كيفية حساب كمية المبيدات وطريقة رشها 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791E81" w:rsidRDefault="00791E81" w:rsidP="008A1F75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255A9" w:rsidRDefault="006255A9" w:rsidP="008A1F75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12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890"/>
        <w:gridCol w:w="1276"/>
        <w:gridCol w:w="1559"/>
        <w:gridCol w:w="2352"/>
        <w:gridCol w:w="2184"/>
        <w:gridCol w:w="1592"/>
        <w:gridCol w:w="1365"/>
        <w:gridCol w:w="20"/>
      </w:tblGrid>
      <w:tr w:rsidR="006255A9" w:rsidRPr="006255A9" w:rsidTr="00BC4EB9">
        <w:trPr>
          <w:gridAfter w:val="1"/>
          <w:wAfter w:w="20" w:type="dxa"/>
          <w:trHeight w:val="417"/>
        </w:trPr>
        <w:tc>
          <w:tcPr>
            <w:tcW w:w="11248" w:type="dxa"/>
            <w:gridSpan w:val="8"/>
            <w:shd w:val="clear" w:color="auto" w:fill="auto"/>
          </w:tcPr>
          <w:p w:rsidR="006255A9" w:rsidRPr="006255A9" w:rsidRDefault="006255A9" w:rsidP="00110640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255A9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11 -   </w:t>
            </w:r>
            <w:r w:rsidRPr="006255A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255A9" w:rsidRPr="006255A9" w:rsidTr="00BC4EB9">
        <w:trPr>
          <w:gridBefore w:val="1"/>
          <w:wBefore w:w="30" w:type="dxa"/>
          <w:trHeight w:val="703"/>
        </w:trPr>
        <w:tc>
          <w:tcPr>
            <w:tcW w:w="890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اسم الوحدة / المساق أو الموضوع</w:t>
            </w:r>
            <w:r w:rsidRPr="006255A9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(النظري)</w:t>
            </w:r>
          </w:p>
        </w:tc>
        <w:tc>
          <w:tcPr>
            <w:tcW w:w="2184" w:type="dxa"/>
            <w:shd w:val="clear" w:color="auto" w:fill="auto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اسم الوحدة / المساق أو الموضوع</w:t>
            </w:r>
            <w:r w:rsidRPr="006255A9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(العملي)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6255A9"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6255A9" w:rsidRPr="006255A9" w:rsidTr="00BC4EB9">
        <w:trPr>
          <w:gridBefore w:val="1"/>
          <w:wBefore w:w="30" w:type="dxa"/>
          <w:trHeight w:val="309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تكنولوجيا معدات مكافحة ادغال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خصائص نباتات الادغال وبذورها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التعرف على اهم المعدات الزراعية المستخدمة في مكافحة الادغال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اسلوب عرض</w:t>
            </w:r>
          </w:p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Power point</w:t>
            </w:r>
            <w:r w:rsidRPr="006255A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 </w:t>
            </w:r>
          </w:p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+ محاضرات + وسائل ايضاح +كتب منهجية ومساعده </w:t>
            </w: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اختبار يومي وشهري + درجات على نشاطات والتقارير والحضور</w:t>
            </w:r>
          </w:p>
        </w:tc>
      </w:tr>
      <w:tr w:rsidR="006255A9" w:rsidRPr="006255A9" w:rsidTr="00BC4EB9">
        <w:trPr>
          <w:gridBefore w:val="1"/>
          <w:wBefore w:w="30" w:type="dxa"/>
          <w:trHeight w:val="262"/>
        </w:trPr>
        <w:tc>
          <w:tcPr>
            <w:tcW w:w="890" w:type="dxa"/>
            <w:shd w:val="clear" w:color="auto" w:fill="auto"/>
            <w:vAlign w:val="center"/>
          </w:tcPr>
          <w:p w:rsidR="006255A9" w:rsidRPr="006255A9" w:rsidRDefault="006255A9" w:rsidP="006255A9">
            <w:pPr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5A9" w:rsidRPr="006255A9" w:rsidRDefault="006255A9" w:rsidP="006255A9">
            <w:pPr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5A9" w:rsidRPr="006255A9" w:rsidRDefault="006255A9" w:rsidP="006255A9">
            <w:pPr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طرق مكافحة الادغال .الطريقة الميكانيكية ,القلع اليدوي.العزق بالفؤؤس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اجراء مكافحة ميكانيكية وحساب الجدوى الاقتصادية منها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255A9" w:rsidRPr="006255A9" w:rsidRDefault="006255A9" w:rsidP="006255A9">
            <w:pPr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6255A9" w:rsidRPr="006255A9" w:rsidRDefault="006255A9" w:rsidP="006255A9">
            <w:pPr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أستخدام الحراثة والحش والغمر بالماء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اهم المبيدات الشائعة الاستخدام في حقول المحاصيل وموعد وطريقة الاضافه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57"/>
        </w:trPr>
        <w:tc>
          <w:tcPr>
            <w:tcW w:w="890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الطريقة البيولوجية في مكافحة الادغال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حساب المادة التجارية للمبيدات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602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أستخدام المنافسة والدورة الزراعية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عريضة الاوراق بالمبيدات الانتخابية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9"/>
        </w:trPr>
        <w:tc>
          <w:tcPr>
            <w:tcW w:w="890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5(2نظري+ 3عملي)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أستخدام طريقة الحرارة والتغطية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رفيعة الاوراق بالمبيدات الانتخابية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7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المصطلحات العلمية المستخدمة في مكافحة الادغال وتصنيف الادغال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تسجيل نتائج رش المبيدات في الاسبوع الخامس والسادس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8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المبيدات والنبات .</w:t>
            </w:r>
          </w:p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امتصاص وانتقال المبيدات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حقول الذرة الصفراء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9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أنتخابية المبيدات, العوامل المؤثرة في الانتخابية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حقول القطن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10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المبيدات والتربة.التفاعلات التي تحدث لمبيدات عند ملامسة المبيدات للتربة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تسجيل الملاحظات ونسبة المكافحة لمبيدات التي استخدمت في الاسبوع التاسع والعاشر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11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حقول المحاصيل الرئيسة في العراق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بأستخدام مبيدات غير انتخابية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580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12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المشاتل والبساتين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الاراضي الغير زراعية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13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طرق مكافحة الادغال المائية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قنوات الري والبزل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247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14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فسلجة أمتصاص و أنتقال المبيدات في التربة و العوامل المؤثرة فيها 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المبيدات المفيدة الاستخدام والممنوعة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  <w:tr w:rsidR="006255A9" w:rsidRPr="006255A9" w:rsidTr="00BC4EB9">
        <w:trPr>
          <w:gridBefore w:val="1"/>
          <w:wBefore w:w="30" w:type="dxa"/>
          <w:trHeight w:val="60"/>
        </w:trPr>
        <w:tc>
          <w:tcPr>
            <w:tcW w:w="89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15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فسلجة أمتصاص و أنتقال المبيدات المضافة على الأجزاء الخضرية و العوامل المؤثرة فيها 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rtl/>
              </w:rPr>
              <w:t>مكافحة الادغال في حقول المحاصيل الرئيسية</w:t>
            </w:r>
          </w:p>
        </w:tc>
        <w:tc>
          <w:tcPr>
            <w:tcW w:w="15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:rsidR="006255A9" w:rsidRPr="006255A9" w:rsidRDefault="006255A9" w:rsidP="006255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</w:tbl>
    <w:p w:rsidR="006255A9" w:rsidRPr="006255A9" w:rsidRDefault="006255A9" w:rsidP="008A1F75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255A9" w:rsidRPr="00E779AA" w:rsidRDefault="006255A9" w:rsidP="008A1F75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791E81" w:rsidRPr="00807DE1" w:rsidRDefault="00791E81" w:rsidP="008A1F75">
      <w:pPr>
        <w:rPr>
          <w:vanish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:rsidTr="008A1F75">
        <w:trPr>
          <w:trHeight w:val="477"/>
          <w:jc w:val="center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55749E" w:rsidP="0055749E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12- </w:t>
            </w:r>
            <w:r w:rsidR="00791E8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91E81" w:rsidRPr="00DB131F" w:rsidTr="008A1F75">
        <w:trPr>
          <w:trHeight w:val="1587"/>
          <w:jc w:val="center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791E81" w:rsidRPr="00DB131F" w:rsidRDefault="00791E81" w:rsidP="008A1F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91E81" w:rsidRPr="00DB131F" w:rsidRDefault="00791E81" w:rsidP="008A1F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91E81" w:rsidRPr="00DB131F" w:rsidRDefault="00791E81" w:rsidP="008A1F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9F7F2E" w:rsidRPr="009F7F2E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المصادر:-</w:t>
            </w:r>
          </w:p>
          <w:p w:rsidR="009F7F2E" w:rsidRPr="009F7F2E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1- الادغال وطرائق مكافحتها (الجزء العملي ) . 2011 . د.محمد هذال كاظم البلداوي و.د موفق عبدالرزاق </w:t>
            </w:r>
          </w:p>
          <w:p w:rsidR="009F7F2E" w:rsidRPr="009F7F2E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سهيل  النقيب . </w:t>
            </w:r>
          </w:p>
          <w:p w:rsidR="009F7F2E" w:rsidRPr="009F7F2E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2- الادغال وطرائق مكافحتها .1985 . د.باقر عبد خلف الجبوري و د. غانم سعدالله حساوي و د. فائق توفيق </w:t>
            </w:r>
          </w:p>
          <w:p w:rsidR="009F7F2E" w:rsidRPr="009F7F2E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الجلبي. </w:t>
            </w:r>
          </w:p>
          <w:p w:rsidR="00791E81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9F7F2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3- علم الادغال .2002. د.باقر عبد خلف الجبوري .</w:t>
            </w:r>
          </w:p>
          <w:p w:rsidR="00E41F9C" w:rsidRDefault="00E41F9C" w:rsidP="00E41F9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principles and practices of weed                      management(2018)</w:t>
            </w:r>
          </w:p>
          <w:p w:rsidR="00E41F9C" w:rsidRDefault="00E41F9C" w:rsidP="00E41F9C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R.R. Rana   and M.C. Rana</w:t>
            </w:r>
          </w:p>
          <w:p w:rsidR="009F7F2E" w:rsidRDefault="00E41F9C" w:rsidP="00E41F9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5-الحشائش ,طرق وبرامج المكافحة (2002) أ.د.السيد حسن محمد فايد</w:t>
            </w:r>
          </w:p>
          <w:p w:rsidR="00E41F9C" w:rsidRDefault="00E41F9C" w:rsidP="00E41F9C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6-الحشائش ووسائل مكافحتها (2011) أ. د.محمد الرفاعي البيلي وأ.م.د.هاني صابر سعودي </w:t>
            </w:r>
          </w:p>
          <w:p w:rsidR="009F7F2E" w:rsidRPr="00DB131F" w:rsidRDefault="009F7F2E" w:rsidP="009F7F2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8A1F75">
        <w:trPr>
          <w:trHeight w:val="1247"/>
          <w:jc w:val="center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3C4840" w:rsidP="003C4840">
            <w:pPr>
              <w:autoSpaceDE w:val="0"/>
              <w:autoSpaceDN w:val="0"/>
              <w:bidi w:val="0"/>
              <w:adjustRightInd w:val="0"/>
              <w:jc w:val="both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C484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Websites, Articles, FAO reports and determent</w:t>
            </w:r>
          </w:p>
        </w:tc>
      </w:tr>
      <w:tr w:rsidR="00791E81" w:rsidRPr="00DB131F" w:rsidTr="008A1F75">
        <w:trPr>
          <w:trHeight w:val="1247"/>
          <w:jc w:val="center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91E81" w:rsidRPr="00E630D3" w:rsidRDefault="00E630D3" w:rsidP="008A1F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630D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اجراء زيارات حقلية لتشخيص </w:t>
            </w:r>
            <w:r w:rsidRPr="00E630D3">
              <w:rPr>
                <w:rFonts w:ascii="Cambria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Pr="00E630D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الأدغا</w:t>
            </w:r>
            <w:r w:rsidRPr="00E630D3">
              <w:rPr>
                <w:rFonts w:ascii="Cambria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ل</w:t>
            </w:r>
            <w:r w:rsidRPr="00E630D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المختلفة ومعرفة المبيدات المناسبة وطريقة مكافحتها </w:t>
            </w:r>
          </w:p>
        </w:tc>
      </w:tr>
    </w:tbl>
    <w:p w:rsidR="00791E81" w:rsidRDefault="00791E81" w:rsidP="008A1F75">
      <w:pPr>
        <w:rPr>
          <w:rtl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:rsidTr="008A1F75">
        <w:trPr>
          <w:trHeight w:val="419"/>
          <w:jc w:val="center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55749E" w:rsidP="0055749E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13- </w:t>
            </w:r>
            <w:r w:rsidR="00791E8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:rsidTr="008A1F75">
        <w:trPr>
          <w:trHeight w:val="473"/>
          <w:jc w:val="center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3C4840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طلبة الصف الرابع لقسم المحاصيل الحقلية </w:t>
            </w:r>
          </w:p>
        </w:tc>
      </w:tr>
      <w:tr w:rsidR="00791E81" w:rsidRPr="00DB131F" w:rsidTr="008A1F75">
        <w:trPr>
          <w:trHeight w:val="495"/>
          <w:jc w:val="center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E630D3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50</w:t>
            </w:r>
          </w:p>
        </w:tc>
      </w:tr>
      <w:tr w:rsidR="00791E81" w:rsidRPr="00DB131F" w:rsidTr="008A1F75">
        <w:trPr>
          <w:trHeight w:val="517"/>
          <w:jc w:val="center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E630D3" w:rsidP="008A1F7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70</w:t>
            </w:r>
          </w:p>
        </w:tc>
      </w:tr>
    </w:tbl>
    <w:p w:rsidR="00AD1424" w:rsidRDefault="00AD1424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502568" w:rsidP="008A1F75">
      <w:pPr>
        <w:rPr>
          <w:rtl/>
        </w:rPr>
      </w:pPr>
      <w:r>
        <w:rPr>
          <w:rFonts w:hint="cs"/>
          <w:rtl/>
        </w:rPr>
        <w:t xml:space="preserve">                              </w:t>
      </w:r>
    </w:p>
    <w:p w:rsidR="003E3256" w:rsidRDefault="003E3256" w:rsidP="008A1F75">
      <w:pPr>
        <w:rPr>
          <w:rtl/>
        </w:rPr>
      </w:pPr>
    </w:p>
    <w:p w:rsidR="003E3256" w:rsidRPr="00DA7407" w:rsidRDefault="006D2345" w:rsidP="008A1F75">
      <w:pPr>
        <w:rPr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Default="003E3256" w:rsidP="008A1F75">
      <w:pPr>
        <w:rPr>
          <w:rtl/>
        </w:rPr>
      </w:pPr>
    </w:p>
    <w:p w:rsidR="003E3256" w:rsidRPr="0023157C" w:rsidRDefault="003E3256" w:rsidP="008A1F75">
      <w:pPr>
        <w:rPr>
          <w:sz w:val="24"/>
          <w:szCs w:val="24"/>
        </w:rPr>
      </w:pPr>
    </w:p>
    <w:sectPr w:rsidR="003E3256" w:rsidRPr="0023157C" w:rsidSect="003C695C">
      <w:pgSz w:w="11906" w:h="16838"/>
      <w:pgMar w:top="720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5F" w:rsidRDefault="00EC6B5F" w:rsidP="00791E81">
      <w:r>
        <w:separator/>
      </w:r>
    </w:p>
  </w:endnote>
  <w:endnote w:type="continuationSeparator" w:id="0">
    <w:p w:rsidR="00EC6B5F" w:rsidRDefault="00EC6B5F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5F" w:rsidRDefault="00EC6B5F" w:rsidP="00791E81">
      <w:r>
        <w:separator/>
      </w:r>
    </w:p>
  </w:footnote>
  <w:footnote w:type="continuationSeparator" w:id="0">
    <w:p w:rsidR="00EC6B5F" w:rsidRDefault="00EC6B5F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81"/>
    <w:rsid w:val="00084F88"/>
    <w:rsid w:val="000D4292"/>
    <w:rsid w:val="00110640"/>
    <w:rsid w:val="001170D7"/>
    <w:rsid w:val="00195B7D"/>
    <w:rsid w:val="001B0674"/>
    <w:rsid w:val="001E3117"/>
    <w:rsid w:val="001E45F8"/>
    <w:rsid w:val="0023157C"/>
    <w:rsid w:val="00263948"/>
    <w:rsid w:val="002A0D73"/>
    <w:rsid w:val="002C020D"/>
    <w:rsid w:val="00311A65"/>
    <w:rsid w:val="00375C82"/>
    <w:rsid w:val="0039755C"/>
    <w:rsid w:val="003B5A62"/>
    <w:rsid w:val="003C4840"/>
    <w:rsid w:val="003C695C"/>
    <w:rsid w:val="003D03B2"/>
    <w:rsid w:val="003E3256"/>
    <w:rsid w:val="00471EAD"/>
    <w:rsid w:val="00502568"/>
    <w:rsid w:val="0055749E"/>
    <w:rsid w:val="00565F3C"/>
    <w:rsid w:val="00612AAC"/>
    <w:rsid w:val="006255A9"/>
    <w:rsid w:val="006D2345"/>
    <w:rsid w:val="00703586"/>
    <w:rsid w:val="00727C41"/>
    <w:rsid w:val="00742998"/>
    <w:rsid w:val="007443D2"/>
    <w:rsid w:val="00771408"/>
    <w:rsid w:val="007746BB"/>
    <w:rsid w:val="00791E81"/>
    <w:rsid w:val="00823004"/>
    <w:rsid w:val="008375DB"/>
    <w:rsid w:val="008A1F75"/>
    <w:rsid w:val="00986F59"/>
    <w:rsid w:val="009D356F"/>
    <w:rsid w:val="009D7A15"/>
    <w:rsid w:val="009F7F2E"/>
    <w:rsid w:val="00AA63AA"/>
    <w:rsid w:val="00AB60A5"/>
    <w:rsid w:val="00AD111E"/>
    <w:rsid w:val="00AD1424"/>
    <w:rsid w:val="00B947A5"/>
    <w:rsid w:val="00C30046"/>
    <w:rsid w:val="00C72F2D"/>
    <w:rsid w:val="00D66512"/>
    <w:rsid w:val="00D76F78"/>
    <w:rsid w:val="00DA7407"/>
    <w:rsid w:val="00DC514E"/>
    <w:rsid w:val="00E04B43"/>
    <w:rsid w:val="00E23BB9"/>
    <w:rsid w:val="00E332F9"/>
    <w:rsid w:val="00E41F9C"/>
    <w:rsid w:val="00E630D3"/>
    <w:rsid w:val="00E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FD7F5-8CFB-4F3D-8DA0-B5DF31D8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1C76-201D-4588-8F69-C0688004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Maher</cp:lastModifiedBy>
  <cp:revision>2</cp:revision>
  <cp:lastPrinted>2021-10-21T05:29:00Z</cp:lastPrinted>
  <dcterms:created xsi:type="dcterms:W3CDTF">2023-11-12T07:13:00Z</dcterms:created>
  <dcterms:modified xsi:type="dcterms:W3CDTF">2023-11-12T07:13:00Z</dcterms:modified>
</cp:coreProperties>
</file>