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89" w:rsidRPr="00B46B0B" w:rsidRDefault="00733B89" w:rsidP="00733B89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46B0B">
        <w:rPr>
          <w:rFonts w:asciiTheme="majorBidi" w:hAnsiTheme="majorBidi" w:cstheme="majorBidi"/>
          <w:b/>
          <w:bCs/>
          <w:sz w:val="32"/>
          <w:szCs w:val="32"/>
        </w:rPr>
        <w:t>Course Description Form</w:t>
      </w:r>
    </w:p>
    <w:tbl>
      <w:tblPr>
        <w:tblW w:w="101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371"/>
        <w:gridCol w:w="5815"/>
      </w:tblGrid>
      <w:tr w:rsidR="000F62EA" w:rsidRPr="00B46B0B" w:rsidTr="00D36253">
        <w:tc>
          <w:tcPr>
            <w:tcW w:w="10148" w:type="dxa"/>
            <w:gridSpan w:val="3"/>
            <w:shd w:val="clear" w:color="auto" w:fill="DEEAF6"/>
          </w:tcPr>
          <w:p w:rsidR="000F62EA" w:rsidRPr="00B46B0B" w:rsidRDefault="000F62EA" w:rsidP="000F62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04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Course Name: </w:t>
            </w:r>
          </w:p>
        </w:tc>
      </w:tr>
      <w:tr w:rsidR="000F62EA" w:rsidRPr="00B46B0B" w:rsidTr="0039089F">
        <w:trPr>
          <w:trHeight w:val="576"/>
        </w:trPr>
        <w:tc>
          <w:tcPr>
            <w:tcW w:w="10148" w:type="dxa"/>
            <w:gridSpan w:val="3"/>
            <w:shd w:val="clear" w:color="auto" w:fill="auto"/>
            <w:vAlign w:val="center"/>
          </w:tcPr>
          <w:p w:rsidR="000F62EA" w:rsidRPr="00B46B0B" w:rsidRDefault="00401D98" w:rsidP="0039089F">
            <w:pPr>
              <w:autoSpaceDE w:val="0"/>
              <w:autoSpaceDN w:val="0"/>
              <w:adjustRightInd w:val="0"/>
              <w:ind w:right="-426" w:firstLine="540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Clinical laboratory training</w:t>
            </w:r>
          </w:p>
        </w:tc>
      </w:tr>
      <w:tr w:rsidR="000F62EA" w:rsidRPr="00B46B0B" w:rsidTr="00D36253">
        <w:tc>
          <w:tcPr>
            <w:tcW w:w="10148" w:type="dxa"/>
            <w:gridSpan w:val="3"/>
            <w:shd w:val="clear" w:color="auto" w:fill="DEEAF6"/>
          </w:tcPr>
          <w:p w:rsidR="000F62EA" w:rsidRPr="00B46B0B" w:rsidRDefault="000F62EA" w:rsidP="000F62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Course Code: </w:t>
            </w:r>
          </w:p>
        </w:tc>
      </w:tr>
      <w:tr w:rsidR="000F62EA" w:rsidRPr="00B46B0B" w:rsidTr="0039089F">
        <w:trPr>
          <w:trHeight w:val="576"/>
        </w:trPr>
        <w:tc>
          <w:tcPr>
            <w:tcW w:w="10148" w:type="dxa"/>
            <w:gridSpan w:val="3"/>
            <w:shd w:val="clear" w:color="auto" w:fill="auto"/>
            <w:vAlign w:val="center"/>
          </w:tcPr>
          <w:p w:rsidR="000F62EA" w:rsidRPr="00B46B0B" w:rsidRDefault="00401D98" w:rsidP="0039089F">
            <w:pPr>
              <w:autoSpaceDE w:val="0"/>
              <w:autoSpaceDN w:val="0"/>
              <w:adjustRightInd w:val="0"/>
              <w:ind w:right="-426" w:firstLine="540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561 </w:t>
            </w:r>
            <w:proofErr w:type="spellStart"/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ClCL</w:t>
            </w:r>
            <w:proofErr w:type="spellEnd"/>
          </w:p>
        </w:tc>
      </w:tr>
      <w:tr w:rsidR="000F62EA" w:rsidRPr="00B46B0B" w:rsidTr="00D36253">
        <w:tc>
          <w:tcPr>
            <w:tcW w:w="10148" w:type="dxa"/>
            <w:gridSpan w:val="3"/>
            <w:shd w:val="clear" w:color="auto" w:fill="DEEAF6"/>
          </w:tcPr>
          <w:p w:rsidR="000F62EA" w:rsidRPr="00B46B0B" w:rsidRDefault="000F62EA" w:rsidP="000F62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Semester / Year</w:t>
            </w:r>
          </w:p>
        </w:tc>
      </w:tr>
      <w:tr w:rsidR="000F62EA" w:rsidRPr="00B46B0B" w:rsidTr="0039089F">
        <w:trPr>
          <w:trHeight w:val="576"/>
        </w:trPr>
        <w:tc>
          <w:tcPr>
            <w:tcW w:w="10148" w:type="dxa"/>
            <w:gridSpan w:val="3"/>
            <w:shd w:val="clear" w:color="auto" w:fill="auto"/>
            <w:vAlign w:val="center"/>
          </w:tcPr>
          <w:p w:rsidR="000F62EA" w:rsidRPr="00B46B0B" w:rsidRDefault="000F62EA" w:rsidP="0039089F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       </w:t>
            </w:r>
            <w:r w:rsidR="00401D98"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First</w:t>
            </w:r>
            <w:r w:rsidR="005D0E52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and Second</w:t>
            </w: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/ </w:t>
            </w:r>
            <w:r w:rsidR="00401D98"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Fifth </w:t>
            </w: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</w:tr>
      <w:tr w:rsidR="000F62EA" w:rsidRPr="00B46B0B" w:rsidTr="00D36253">
        <w:tc>
          <w:tcPr>
            <w:tcW w:w="10148" w:type="dxa"/>
            <w:gridSpan w:val="3"/>
            <w:shd w:val="clear" w:color="auto" w:fill="DEEAF6"/>
          </w:tcPr>
          <w:p w:rsidR="000F62EA" w:rsidRPr="00B46B0B" w:rsidRDefault="000F62EA" w:rsidP="000F62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Description Preparation Date: </w:t>
            </w:r>
          </w:p>
        </w:tc>
      </w:tr>
      <w:tr w:rsidR="000F62EA" w:rsidRPr="00B46B0B" w:rsidTr="0039089F">
        <w:trPr>
          <w:trHeight w:val="576"/>
        </w:trPr>
        <w:tc>
          <w:tcPr>
            <w:tcW w:w="10148" w:type="dxa"/>
            <w:gridSpan w:val="3"/>
            <w:shd w:val="clear" w:color="auto" w:fill="auto"/>
            <w:vAlign w:val="center"/>
          </w:tcPr>
          <w:p w:rsidR="000F62EA" w:rsidRPr="00B46B0B" w:rsidRDefault="000F62EA" w:rsidP="0039089F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 xml:space="preserve">        29/2/2024</w:t>
            </w:r>
          </w:p>
        </w:tc>
      </w:tr>
      <w:tr w:rsidR="000F62EA" w:rsidRPr="00B46B0B" w:rsidTr="00D36253">
        <w:tc>
          <w:tcPr>
            <w:tcW w:w="10148" w:type="dxa"/>
            <w:gridSpan w:val="3"/>
            <w:shd w:val="clear" w:color="auto" w:fill="DEEAF6"/>
          </w:tcPr>
          <w:p w:rsidR="000F62EA" w:rsidRPr="00B46B0B" w:rsidRDefault="000F62EA" w:rsidP="000F62EA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Available Attendance Forms: </w:t>
            </w:r>
          </w:p>
        </w:tc>
      </w:tr>
      <w:tr w:rsidR="000F62EA" w:rsidRPr="00B46B0B" w:rsidTr="0039089F">
        <w:trPr>
          <w:trHeight w:val="576"/>
        </w:trPr>
        <w:tc>
          <w:tcPr>
            <w:tcW w:w="10148" w:type="dxa"/>
            <w:gridSpan w:val="3"/>
            <w:shd w:val="clear" w:color="auto" w:fill="auto"/>
            <w:vAlign w:val="center"/>
          </w:tcPr>
          <w:p w:rsidR="000F62EA" w:rsidRPr="00B46B0B" w:rsidRDefault="000F62EA" w:rsidP="0039089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      In-person attendance                                                           </w:t>
            </w:r>
          </w:p>
        </w:tc>
      </w:tr>
      <w:tr w:rsidR="000F62EA" w:rsidRPr="00B46B0B" w:rsidTr="00D36253">
        <w:tc>
          <w:tcPr>
            <w:tcW w:w="10148" w:type="dxa"/>
            <w:gridSpan w:val="3"/>
            <w:shd w:val="clear" w:color="auto" w:fill="DEEAF6"/>
          </w:tcPr>
          <w:p w:rsidR="000F62EA" w:rsidRPr="00B46B0B" w:rsidRDefault="000F62EA" w:rsidP="000F62EA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Number of Credit Hours (Total) / Number of Units (Total) </w:t>
            </w:r>
          </w:p>
        </w:tc>
      </w:tr>
      <w:tr w:rsidR="000F62EA" w:rsidRPr="00B46B0B" w:rsidTr="0039089F">
        <w:trPr>
          <w:trHeight w:val="576"/>
        </w:trPr>
        <w:tc>
          <w:tcPr>
            <w:tcW w:w="10148" w:type="dxa"/>
            <w:gridSpan w:val="3"/>
            <w:shd w:val="clear" w:color="auto" w:fill="auto"/>
            <w:vAlign w:val="center"/>
          </w:tcPr>
          <w:p w:rsidR="000F62EA" w:rsidRPr="00B46B0B" w:rsidRDefault="000F62EA" w:rsidP="0039089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      </w:t>
            </w:r>
            <w:r w:rsidR="00401D98"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4</w:t>
            </w: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/</w:t>
            </w:r>
            <w:r w:rsidR="00401D98"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</w:t>
            </w:r>
          </w:p>
        </w:tc>
      </w:tr>
      <w:tr w:rsidR="00DA7D5F" w:rsidRPr="00B46B0B" w:rsidTr="00D36253">
        <w:tc>
          <w:tcPr>
            <w:tcW w:w="10148" w:type="dxa"/>
            <w:gridSpan w:val="3"/>
            <w:shd w:val="clear" w:color="auto" w:fill="DEEAF6"/>
          </w:tcPr>
          <w:p w:rsidR="00DA7D5F" w:rsidRPr="00B46B0B" w:rsidRDefault="00DA7D5F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Course administrator's name (mention all, if more than one name) </w:t>
            </w:r>
          </w:p>
        </w:tc>
      </w:tr>
      <w:tr w:rsidR="00DA7D5F" w:rsidRPr="00B46B0B" w:rsidTr="00D36253">
        <w:tc>
          <w:tcPr>
            <w:tcW w:w="10148" w:type="dxa"/>
            <w:gridSpan w:val="3"/>
            <w:shd w:val="clear" w:color="auto" w:fill="auto"/>
          </w:tcPr>
          <w:p w:rsidR="00120AAA" w:rsidRPr="00B46B0B" w:rsidRDefault="0040314A" w:rsidP="00A732E0">
            <w:pPr>
              <w:shd w:val="clear" w:color="auto" w:fill="FFFFFF"/>
              <w:autoSpaceDE w:val="0"/>
              <w:autoSpaceDN w:val="0"/>
              <w:adjustRightInd w:val="0"/>
              <w:ind w:left="720" w:right="-426" w:hanging="148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Name: </w:t>
            </w:r>
            <w:r w:rsidR="00120AAA"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Prof. Dr. </w:t>
            </w:r>
            <w:proofErr w:type="spellStart"/>
            <w:r w:rsidR="00120AAA"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Shatha</w:t>
            </w:r>
            <w:proofErr w:type="spellEnd"/>
            <w:r w:rsidR="00120AAA"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Hussein Ali</w:t>
            </w:r>
          </w:p>
          <w:p w:rsidR="000F62EA" w:rsidRPr="00B46B0B" w:rsidRDefault="00120AAA" w:rsidP="00A732E0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 xml:space="preserve">         </w:t>
            </w:r>
            <w:r w:rsidR="0040314A" w:rsidRPr="00B46B0B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 xml:space="preserve">Email: </w:t>
            </w:r>
            <w:r w:rsidRPr="00B46B0B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shathahali@copharm.uobaghdad.edu.iq</w:t>
            </w:r>
            <w:r w:rsidR="000F62EA"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:rsidR="00DA7D5F" w:rsidRPr="00B46B0B" w:rsidRDefault="0040314A" w:rsidP="00A732E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        Name: Assist. Prof. Dr. Ali </w:t>
            </w:r>
            <w:proofErr w:type="spellStart"/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Abdulhussain</w:t>
            </w:r>
            <w:proofErr w:type="spellEnd"/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Kasim</w:t>
            </w:r>
            <w:proofErr w:type="spellEnd"/>
          </w:p>
          <w:p w:rsidR="0040314A" w:rsidRPr="00B46B0B" w:rsidRDefault="0040314A" w:rsidP="00A732E0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        Email: ali.qasem@copharm.uobaghdad</w:t>
            </w:r>
            <w:r w:rsidR="00A732E0"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.edu.iq</w:t>
            </w:r>
          </w:p>
          <w:p w:rsidR="0040314A" w:rsidRPr="00B46B0B" w:rsidRDefault="00A732E0" w:rsidP="00A732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    In association with the members of the Clinical Laboratory Sciences Department</w:t>
            </w:r>
          </w:p>
        </w:tc>
      </w:tr>
      <w:tr w:rsidR="00DA7D5F" w:rsidRPr="00B46B0B" w:rsidTr="00D36253">
        <w:tc>
          <w:tcPr>
            <w:tcW w:w="10148" w:type="dxa"/>
            <w:gridSpan w:val="3"/>
            <w:shd w:val="clear" w:color="auto" w:fill="DEEAF6"/>
          </w:tcPr>
          <w:p w:rsidR="00DA7D5F" w:rsidRPr="00B46B0B" w:rsidRDefault="00DA7D5F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Course Objectives </w:t>
            </w:r>
          </w:p>
        </w:tc>
      </w:tr>
      <w:tr w:rsidR="00D36253" w:rsidRPr="00B46B0B" w:rsidTr="0040314A">
        <w:tc>
          <w:tcPr>
            <w:tcW w:w="2657" w:type="dxa"/>
            <w:shd w:val="clear" w:color="auto" w:fill="auto"/>
          </w:tcPr>
          <w:p w:rsidR="00DA7D5F" w:rsidRPr="00B46B0B" w:rsidRDefault="00DA7D5F" w:rsidP="008F186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Course Objectives</w:t>
            </w:r>
          </w:p>
        </w:tc>
        <w:tc>
          <w:tcPr>
            <w:tcW w:w="7491" w:type="dxa"/>
            <w:gridSpan w:val="2"/>
            <w:shd w:val="clear" w:color="auto" w:fill="auto"/>
          </w:tcPr>
          <w:p w:rsidR="0040314A" w:rsidRPr="00B46B0B" w:rsidRDefault="0040314A" w:rsidP="00A732E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ind w:right="90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 xml:space="preserve">Providing students with the necessary technical skills and principles of laboratory tests in the field of clinical biochemistry, serology, hematology, and microbiology.  </w:t>
            </w:r>
          </w:p>
          <w:p w:rsidR="0040314A" w:rsidRPr="00B46B0B" w:rsidRDefault="0040314A" w:rsidP="00A732E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ind w:right="90"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B46B0B"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>Illustrating the range of applications as well as limitations of different laboratory techniques.</w:t>
            </w:r>
          </w:p>
          <w:p w:rsidR="00DA7D5F" w:rsidRPr="00B46B0B" w:rsidRDefault="0040314A" w:rsidP="0039089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90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>Relating the laboratory findings to the process of clinical diagnosis and management.</w:t>
            </w:r>
            <w:r w:rsidRPr="00B46B0B"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 xml:space="preserve"> </w:t>
            </w:r>
          </w:p>
        </w:tc>
      </w:tr>
      <w:tr w:rsidR="00DA7D5F" w:rsidRPr="00B46B0B" w:rsidTr="00D36253">
        <w:tc>
          <w:tcPr>
            <w:tcW w:w="10148" w:type="dxa"/>
            <w:gridSpan w:val="3"/>
            <w:shd w:val="clear" w:color="auto" w:fill="DEEAF6"/>
          </w:tcPr>
          <w:p w:rsidR="00DA7D5F" w:rsidRPr="00B46B0B" w:rsidRDefault="00DA7D5F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Teaching and Learning Strategies </w:t>
            </w:r>
          </w:p>
        </w:tc>
      </w:tr>
      <w:tr w:rsidR="00D36253" w:rsidRPr="00B46B0B" w:rsidTr="0040314A">
        <w:tc>
          <w:tcPr>
            <w:tcW w:w="2657" w:type="dxa"/>
            <w:shd w:val="clear" w:color="auto" w:fill="auto"/>
          </w:tcPr>
          <w:p w:rsidR="00DA7D5F" w:rsidRPr="00B46B0B" w:rsidRDefault="00DA7D5F" w:rsidP="00F37A47">
            <w:pPr>
              <w:shd w:val="clear" w:color="auto" w:fill="FFFFFF"/>
              <w:autoSpaceDE w:val="0"/>
              <w:autoSpaceDN w:val="0"/>
              <w:adjustRightInd w:val="0"/>
              <w:ind w:right="-148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Strategy</w:t>
            </w:r>
          </w:p>
        </w:tc>
        <w:tc>
          <w:tcPr>
            <w:tcW w:w="7491" w:type="dxa"/>
            <w:gridSpan w:val="2"/>
            <w:shd w:val="clear" w:color="auto" w:fill="auto"/>
          </w:tcPr>
          <w:p w:rsidR="0040314A" w:rsidRPr="00B46B0B" w:rsidRDefault="0040314A" w:rsidP="0040314A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  <w:t xml:space="preserve">Laboratory practical training </w:t>
            </w:r>
          </w:p>
          <w:p w:rsidR="0040314A" w:rsidRPr="00B46B0B" w:rsidRDefault="0040314A" w:rsidP="0040314A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  <w:t>Discussions</w:t>
            </w:r>
          </w:p>
          <w:p w:rsidR="00A376D3" w:rsidRPr="00B46B0B" w:rsidRDefault="0040314A" w:rsidP="0040314A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val="en"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  <w:t>Reports</w:t>
            </w:r>
          </w:p>
        </w:tc>
      </w:tr>
      <w:tr w:rsidR="00DA7D5F" w:rsidRPr="00B46B0B" w:rsidTr="00D36253">
        <w:tc>
          <w:tcPr>
            <w:tcW w:w="10148" w:type="dxa"/>
            <w:gridSpan w:val="3"/>
            <w:shd w:val="clear" w:color="auto" w:fill="DEEAF6"/>
          </w:tcPr>
          <w:p w:rsidR="00DA7D5F" w:rsidRPr="00B46B0B" w:rsidRDefault="00DA7D5F" w:rsidP="00733B89">
            <w:pPr>
              <w:numPr>
                <w:ilvl w:val="0"/>
                <w:numId w:val="2"/>
              </w:numPr>
              <w:ind w:left="513" w:hanging="513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lastRenderedPageBreak/>
              <w:t>Course Structure</w:t>
            </w:r>
          </w:p>
        </w:tc>
      </w:tr>
      <w:tr w:rsidR="00FA58EC" w:rsidRPr="00B46B0B" w:rsidTr="00FA58EC">
        <w:tc>
          <w:tcPr>
            <w:tcW w:w="10148" w:type="dxa"/>
            <w:gridSpan w:val="3"/>
            <w:shd w:val="clear" w:color="auto" w:fill="FFFFFF" w:themeFill="background1"/>
          </w:tcPr>
          <w:tbl>
            <w:tblPr>
              <w:tblStyle w:val="TableGrid"/>
              <w:tblW w:w="10017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"/>
              <w:gridCol w:w="973"/>
              <w:gridCol w:w="2671"/>
              <w:gridCol w:w="2083"/>
              <w:gridCol w:w="1811"/>
              <w:gridCol w:w="1556"/>
            </w:tblGrid>
            <w:tr w:rsidR="00207DCE" w:rsidRPr="00B46B0B" w:rsidTr="00596EB4">
              <w:tc>
                <w:tcPr>
                  <w:tcW w:w="923" w:type="dxa"/>
                  <w:shd w:val="clear" w:color="auto" w:fill="BDD6EE" w:themeFill="accent1" w:themeFillTint="66"/>
                  <w:vAlign w:val="center"/>
                </w:tcPr>
                <w:p w:rsidR="00FA58EC" w:rsidRPr="00B46B0B" w:rsidRDefault="00FA58EC" w:rsidP="00A376D3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Week</w:t>
                  </w:r>
                </w:p>
              </w:tc>
              <w:tc>
                <w:tcPr>
                  <w:tcW w:w="973" w:type="dxa"/>
                  <w:shd w:val="clear" w:color="auto" w:fill="BDD6EE" w:themeFill="accent1" w:themeFillTint="66"/>
                  <w:vAlign w:val="center"/>
                </w:tcPr>
                <w:p w:rsidR="00FA58EC" w:rsidRPr="00B46B0B" w:rsidRDefault="00FA58EC" w:rsidP="00A376D3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Hours</w:t>
                  </w:r>
                </w:p>
              </w:tc>
              <w:tc>
                <w:tcPr>
                  <w:tcW w:w="2671" w:type="dxa"/>
                  <w:shd w:val="clear" w:color="auto" w:fill="BDD6EE" w:themeFill="accent1" w:themeFillTint="66"/>
                  <w:vAlign w:val="center"/>
                </w:tcPr>
                <w:p w:rsidR="00FA58EC" w:rsidRPr="00B46B0B" w:rsidRDefault="00FA58EC" w:rsidP="00A376D3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Required Learning Outcomes</w:t>
                  </w:r>
                </w:p>
              </w:tc>
              <w:tc>
                <w:tcPr>
                  <w:tcW w:w="2083" w:type="dxa"/>
                  <w:shd w:val="clear" w:color="auto" w:fill="BDD6EE" w:themeFill="accent1" w:themeFillTint="66"/>
                  <w:vAlign w:val="center"/>
                </w:tcPr>
                <w:p w:rsidR="00FA58EC" w:rsidRPr="00B46B0B" w:rsidRDefault="00FA58EC" w:rsidP="00A376D3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Unit</w:t>
                  </w:r>
                </w:p>
              </w:tc>
              <w:tc>
                <w:tcPr>
                  <w:tcW w:w="1811" w:type="dxa"/>
                  <w:shd w:val="clear" w:color="auto" w:fill="BDD6EE" w:themeFill="accent1" w:themeFillTint="66"/>
                  <w:vAlign w:val="center"/>
                </w:tcPr>
                <w:p w:rsidR="00FA58EC" w:rsidRPr="00B46B0B" w:rsidRDefault="00FA58EC" w:rsidP="00A376D3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Learning method</w:t>
                  </w:r>
                </w:p>
              </w:tc>
              <w:tc>
                <w:tcPr>
                  <w:tcW w:w="1556" w:type="dxa"/>
                  <w:shd w:val="clear" w:color="auto" w:fill="BDD6EE" w:themeFill="accent1" w:themeFillTint="66"/>
                  <w:vAlign w:val="center"/>
                </w:tcPr>
                <w:p w:rsidR="00FA58EC" w:rsidRPr="00B46B0B" w:rsidRDefault="00FA58EC" w:rsidP="00A376D3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Evaluation method</w:t>
                  </w:r>
                </w:p>
              </w:tc>
            </w:tr>
            <w:tr w:rsidR="00207DCE" w:rsidRPr="00B46B0B" w:rsidTr="00596EB4">
              <w:tc>
                <w:tcPr>
                  <w:tcW w:w="923" w:type="dxa"/>
                  <w:vAlign w:val="center"/>
                </w:tcPr>
                <w:p w:rsidR="00FA58EC" w:rsidRPr="00B46B0B" w:rsidRDefault="00FA58EC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  <w:r w:rsidR="00096287"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and 2</w:t>
                  </w:r>
                </w:p>
              </w:tc>
              <w:tc>
                <w:tcPr>
                  <w:tcW w:w="973" w:type="dxa"/>
                  <w:vAlign w:val="center"/>
                </w:tcPr>
                <w:p w:rsidR="00FA58EC" w:rsidRPr="00B46B0B" w:rsidRDefault="00096287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671" w:type="dxa"/>
                  <w:vAlign w:val="center"/>
                </w:tcPr>
                <w:p w:rsidR="00096287" w:rsidRPr="00B46B0B" w:rsidRDefault="00096287" w:rsidP="00096287">
                  <w:pPr>
                    <w:shd w:val="clear" w:color="auto" w:fill="FFFFFF"/>
                    <w:jc w:val="both"/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Specimen 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collection;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096287" w:rsidRPr="00B46B0B" w:rsidRDefault="00096287" w:rsidP="00096287">
                  <w:pPr>
                    <w:shd w:val="clear" w:color="auto" w:fill="FFFFFF"/>
                    <w:jc w:val="both"/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Description of 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the </w:t>
                  </w:r>
                  <w:proofErr w:type="spellStart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microscopical</w:t>
                  </w:r>
                  <w:proofErr w:type="spellEnd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 morphological and 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histological appearance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;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 Antigen detection </w:t>
                  </w:r>
                  <w:proofErr w:type="spellStart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immu-nefluorescence</w:t>
                  </w:r>
                  <w:proofErr w:type="spellEnd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, ELISA, and Molecular techniques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;</w:t>
                  </w:r>
                </w:p>
                <w:p w:rsidR="00096287" w:rsidRPr="00B46B0B" w:rsidRDefault="00096287" w:rsidP="00096287">
                  <w:pPr>
                    <w:shd w:val="clear" w:color="auto" w:fill="FFFFFF"/>
                    <w:jc w:val="both"/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Indirect diagnosis 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of viral diseases 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(Cell Culture- </w:t>
                  </w:r>
                  <w:proofErr w:type="spellStart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cytopathic</w:t>
                  </w:r>
                  <w:proofErr w:type="spellEnd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 effect, Eggs pocks on CAM, Animals disease or death confirmation by neutralization test)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;</w:t>
                  </w:r>
                </w:p>
                <w:p w:rsidR="00096287" w:rsidRPr="00B46B0B" w:rsidRDefault="00096287" w:rsidP="00096287">
                  <w:pPr>
                    <w:shd w:val="clear" w:color="auto" w:fill="FFFFFF"/>
                    <w:jc w:val="both"/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 Serological diagnostic procedure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s;</w:t>
                  </w:r>
                </w:p>
                <w:p w:rsidR="00FA58EC" w:rsidRPr="00B46B0B" w:rsidRDefault="00096287" w:rsidP="0009628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Demonstrating the advantages and limitations of 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the aforementioned techniques; 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Interpretation of the results that aids in diagnosis.</w:t>
                  </w:r>
                </w:p>
              </w:tc>
              <w:tc>
                <w:tcPr>
                  <w:tcW w:w="2083" w:type="dxa"/>
                  <w:vAlign w:val="center"/>
                </w:tcPr>
                <w:p w:rsidR="00FA58EC" w:rsidRPr="00B46B0B" w:rsidRDefault="0039089F" w:rsidP="008F18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Virology </w:t>
                  </w:r>
                </w:p>
              </w:tc>
              <w:tc>
                <w:tcPr>
                  <w:tcW w:w="1811" w:type="dxa"/>
                  <w:vAlign w:val="center"/>
                </w:tcPr>
                <w:p w:rsidR="00A732E0" w:rsidRPr="00B46B0B" w:rsidRDefault="00A732E0" w:rsidP="00A732E0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Training in relevant labs,</w:t>
                  </w:r>
                  <w:r w:rsidR="00FA58EC"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:rsidR="00A732E0" w:rsidRPr="00B46B0B" w:rsidRDefault="00A732E0" w:rsidP="00A732E0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Lectures,</w:t>
                  </w:r>
                </w:p>
                <w:p w:rsidR="00FA58EC" w:rsidRPr="00B46B0B" w:rsidRDefault="00FA58EC" w:rsidP="00A732E0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Discussions</w:t>
                  </w:r>
                  <w:r w:rsidR="00A732E0"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,</w:t>
                  </w: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and Reports</w:t>
                  </w:r>
                </w:p>
              </w:tc>
              <w:tc>
                <w:tcPr>
                  <w:tcW w:w="1556" w:type="dxa"/>
                  <w:vAlign w:val="center"/>
                </w:tcPr>
                <w:p w:rsidR="00207DCE" w:rsidRDefault="00207DCE" w:rsidP="00A732E0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Practical skills,</w:t>
                  </w:r>
                </w:p>
                <w:p w:rsidR="00FA58EC" w:rsidRPr="00B46B0B" w:rsidRDefault="00207DCE" w:rsidP="00207DC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E</w:t>
                  </w:r>
                  <w:r w:rsidR="00FA58EC"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xam</w:t>
                  </w:r>
                  <w:r w:rsidR="00A732E0"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s,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C</w:t>
                  </w:r>
                  <w:bookmarkStart w:id="0" w:name="_GoBack"/>
                  <w:bookmarkEnd w:id="0"/>
                  <w:r w:rsidR="00FA58EC"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lassroom activities</w:t>
                  </w:r>
                </w:p>
              </w:tc>
            </w:tr>
            <w:tr w:rsidR="00207DCE" w:rsidRPr="00B46B0B" w:rsidTr="00596EB4">
              <w:tc>
                <w:tcPr>
                  <w:tcW w:w="923" w:type="dxa"/>
                  <w:vAlign w:val="center"/>
                </w:tcPr>
                <w:p w:rsidR="00596EB4" w:rsidRPr="00B46B0B" w:rsidRDefault="00096287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3-5</w:t>
                  </w:r>
                </w:p>
              </w:tc>
              <w:tc>
                <w:tcPr>
                  <w:tcW w:w="973" w:type="dxa"/>
                  <w:vAlign w:val="center"/>
                </w:tcPr>
                <w:p w:rsidR="00596EB4" w:rsidRPr="00B46B0B" w:rsidRDefault="00096287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671" w:type="dxa"/>
                  <w:vAlign w:val="center"/>
                </w:tcPr>
                <w:p w:rsidR="00096287" w:rsidRPr="00B46B0B" w:rsidRDefault="00096287" w:rsidP="00096287">
                  <w:pPr>
                    <w:jc w:val="both"/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Identifying and quantifying a variety of 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biochemical molecules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 in blood and body fluids using various analytical techniques. </w:t>
                  </w:r>
                </w:p>
                <w:p w:rsidR="00596EB4" w:rsidRPr="00B46B0B" w:rsidRDefault="00096287" w:rsidP="00096287">
                  <w:pPr>
                    <w:jc w:val="both"/>
                    <w:rPr>
                      <w:rFonts w:asciiTheme="majorBidi" w:eastAsia="Calibr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lastRenderedPageBreak/>
                    <w:t>This includes Fasting blood gluco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se, Post-prandial glucose, Oral 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glucose tolerance test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,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 Blood urea, Blood </w:t>
                  </w:r>
                  <w:proofErr w:type="spellStart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creatinine</w:t>
                  </w:r>
                  <w:proofErr w:type="spellEnd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, 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proofErr w:type="spellStart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Creatinine</w:t>
                  </w:r>
                  <w:proofErr w:type="spellEnd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 clearance, Uric acid, Cholesterol, Lipoproteins, triglycerides, Blood proteins, Bilirubin, Alkaline phosphatase, Acid phosphatase, Alanine aminotransferase, Aspartate aminotransferase, Lactate dehydrogenase, </w:t>
                  </w:r>
                  <w:proofErr w:type="spellStart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Creatine</w:t>
                  </w:r>
                  <w:proofErr w:type="spellEnd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 phosphokinase.</w:t>
                  </w:r>
                </w:p>
              </w:tc>
              <w:tc>
                <w:tcPr>
                  <w:tcW w:w="2083" w:type="dxa"/>
                  <w:vAlign w:val="center"/>
                </w:tcPr>
                <w:p w:rsidR="00596EB4" w:rsidRPr="00B46B0B" w:rsidRDefault="00096287" w:rsidP="008F1866">
                  <w:pPr>
                    <w:rPr>
                      <w:rFonts w:asciiTheme="majorBidi" w:eastAsia="Calibr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sz w:val="28"/>
                      <w:szCs w:val="28"/>
                    </w:rPr>
                    <w:lastRenderedPageBreak/>
                    <w:t>Biochemical investigations</w:t>
                  </w:r>
                </w:p>
              </w:tc>
              <w:tc>
                <w:tcPr>
                  <w:tcW w:w="1811" w:type="dxa"/>
                  <w:vAlign w:val="center"/>
                </w:tcPr>
                <w:p w:rsidR="00596EB4" w:rsidRPr="00B46B0B" w:rsidRDefault="00596EB4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1556" w:type="dxa"/>
                  <w:vAlign w:val="center"/>
                </w:tcPr>
                <w:p w:rsidR="00596EB4" w:rsidRPr="00B46B0B" w:rsidRDefault="00596EB4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</w:tr>
            <w:tr w:rsidR="00207DCE" w:rsidRPr="00B46B0B" w:rsidTr="00596EB4">
              <w:tc>
                <w:tcPr>
                  <w:tcW w:w="923" w:type="dxa"/>
                  <w:vAlign w:val="center"/>
                </w:tcPr>
                <w:p w:rsidR="00FA58EC" w:rsidRPr="00B46B0B" w:rsidRDefault="007C074A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lastRenderedPageBreak/>
                    <w:t>6 and 7</w:t>
                  </w:r>
                </w:p>
              </w:tc>
              <w:tc>
                <w:tcPr>
                  <w:tcW w:w="973" w:type="dxa"/>
                  <w:vAlign w:val="center"/>
                </w:tcPr>
                <w:p w:rsidR="00FA58EC" w:rsidRPr="00B46B0B" w:rsidRDefault="007C074A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671" w:type="dxa"/>
                  <w:vAlign w:val="center"/>
                </w:tcPr>
                <w:p w:rsidR="00096287" w:rsidRPr="00B46B0B" w:rsidRDefault="00096287" w:rsidP="0009628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Measurement of the main components of blood including; white blood cells total and differential count, red blood cells count, packed cell volume, hemoglobin level, mean corpuscular volume, mean corpuscular hemoglobin, reticulocyte percent.</w:t>
                  </w:r>
                </w:p>
                <w:p w:rsidR="00096287" w:rsidRPr="00B46B0B" w:rsidRDefault="00096287" w:rsidP="0009628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Assessment of iron status including iron concentration, transferrin level and </w:t>
                  </w: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lastRenderedPageBreak/>
                    <w:t xml:space="preserve">total iron binding capacity. </w:t>
                  </w:r>
                </w:p>
                <w:p w:rsidR="00096287" w:rsidRPr="00B46B0B" w:rsidRDefault="00096287" w:rsidP="0009628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Measurement of erythrocyte sedimentation rate.</w:t>
                  </w:r>
                </w:p>
                <w:p w:rsidR="00A12E4F" w:rsidRPr="00B46B0B" w:rsidRDefault="00096287" w:rsidP="0009628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Identifying the ABO blood grouping, cross matching of blood samples, and Coombs test.</w:t>
                  </w:r>
                </w:p>
              </w:tc>
              <w:tc>
                <w:tcPr>
                  <w:tcW w:w="2083" w:type="dxa"/>
                  <w:vAlign w:val="center"/>
                </w:tcPr>
                <w:p w:rsidR="00FA58EC" w:rsidRPr="00B46B0B" w:rsidRDefault="00096287" w:rsidP="008F18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lastRenderedPageBreak/>
                    <w:t xml:space="preserve">Hematology </w:t>
                  </w:r>
                </w:p>
              </w:tc>
              <w:tc>
                <w:tcPr>
                  <w:tcW w:w="1811" w:type="dxa"/>
                  <w:vAlign w:val="center"/>
                </w:tcPr>
                <w:p w:rsidR="00FA58EC" w:rsidRPr="00B46B0B" w:rsidRDefault="00FA58EC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1556" w:type="dxa"/>
                  <w:vAlign w:val="center"/>
                </w:tcPr>
                <w:p w:rsidR="00FA58EC" w:rsidRPr="00B46B0B" w:rsidRDefault="00FA58EC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</w:tr>
            <w:tr w:rsidR="00207DCE" w:rsidRPr="00B46B0B" w:rsidTr="00596EB4">
              <w:tc>
                <w:tcPr>
                  <w:tcW w:w="923" w:type="dxa"/>
                  <w:vAlign w:val="center"/>
                </w:tcPr>
                <w:p w:rsidR="00FA58EC" w:rsidRPr="00B46B0B" w:rsidRDefault="007C074A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lastRenderedPageBreak/>
                    <w:t>8 and 9</w:t>
                  </w:r>
                </w:p>
              </w:tc>
              <w:tc>
                <w:tcPr>
                  <w:tcW w:w="973" w:type="dxa"/>
                  <w:vAlign w:val="center"/>
                </w:tcPr>
                <w:p w:rsidR="00FA58EC" w:rsidRPr="00B46B0B" w:rsidRDefault="007C074A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671" w:type="dxa"/>
                  <w:vAlign w:val="center"/>
                </w:tcPr>
                <w:p w:rsidR="007C074A" w:rsidRPr="00B46B0B" w:rsidRDefault="007C074A" w:rsidP="007C074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Samples collection, handling and transport.</w:t>
                  </w:r>
                </w:p>
                <w:p w:rsidR="007C074A" w:rsidRPr="00B46B0B" w:rsidRDefault="007C074A" w:rsidP="007C074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Types of culture media and Antibiotic sensitivity test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7C074A" w:rsidRPr="00B46B0B" w:rsidRDefault="007C074A" w:rsidP="007C074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Stained preparations of the micro-organisms</w:t>
                  </w: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FA58EC" w:rsidRPr="00B46B0B" w:rsidRDefault="007C074A" w:rsidP="007C074A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Relating the lab. </w:t>
                  </w:r>
                  <w:proofErr w:type="gramStart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findings</w:t>
                  </w:r>
                  <w:proofErr w:type="gramEnd"/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 xml:space="preserve"> to the clinical diagnosis of bacterial diseases.</w:t>
                  </w:r>
                </w:p>
              </w:tc>
              <w:tc>
                <w:tcPr>
                  <w:tcW w:w="2083" w:type="dxa"/>
                  <w:vAlign w:val="center"/>
                </w:tcPr>
                <w:p w:rsidR="00FA58EC" w:rsidRPr="00B46B0B" w:rsidRDefault="007C074A" w:rsidP="008F18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Bacteriology </w:t>
                  </w:r>
                </w:p>
              </w:tc>
              <w:tc>
                <w:tcPr>
                  <w:tcW w:w="1811" w:type="dxa"/>
                  <w:vAlign w:val="center"/>
                </w:tcPr>
                <w:p w:rsidR="00FA58EC" w:rsidRPr="00B46B0B" w:rsidRDefault="00FA58EC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1556" w:type="dxa"/>
                  <w:vAlign w:val="center"/>
                </w:tcPr>
                <w:p w:rsidR="00FA58EC" w:rsidRPr="00B46B0B" w:rsidRDefault="00FA58EC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</w:tr>
            <w:tr w:rsidR="00207DCE" w:rsidRPr="00B46B0B" w:rsidTr="00596EB4">
              <w:tc>
                <w:tcPr>
                  <w:tcW w:w="923" w:type="dxa"/>
                  <w:vAlign w:val="center"/>
                </w:tcPr>
                <w:p w:rsidR="00FA58EC" w:rsidRPr="00B46B0B" w:rsidRDefault="007C074A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10 and 11</w:t>
                  </w:r>
                </w:p>
              </w:tc>
              <w:tc>
                <w:tcPr>
                  <w:tcW w:w="973" w:type="dxa"/>
                  <w:vAlign w:val="center"/>
                </w:tcPr>
                <w:p w:rsidR="00FA58EC" w:rsidRPr="00B46B0B" w:rsidRDefault="007C074A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671" w:type="dxa"/>
                  <w:vAlign w:val="center"/>
                </w:tcPr>
                <w:p w:rsidR="007C074A" w:rsidRPr="00B46B0B" w:rsidRDefault="007C074A" w:rsidP="007C074A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Study the following characteristics of urine:</w:t>
                  </w:r>
                </w:p>
                <w:p w:rsidR="007C074A" w:rsidRPr="00B46B0B" w:rsidRDefault="007C074A" w:rsidP="007C074A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The physical characteristics: like color, appearance, odor, PH, volume and specific gravity. </w:t>
                  </w:r>
                </w:p>
                <w:p w:rsidR="007C074A" w:rsidRPr="00B46B0B" w:rsidRDefault="007C074A" w:rsidP="007C074A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The chemical tests: include protein, glucose, and </w:t>
                  </w:r>
                  <w:proofErr w:type="spellStart"/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ketons</w:t>
                  </w:r>
                  <w:proofErr w:type="spellEnd"/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</w:p>
                <w:p w:rsidR="00A12E4F" w:rsidRPr="00B46B0B" w:rsidRDefault="007C074A" w:rsidP="007C074A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The microscopic examination of urine sediments: which include RBCs, WBCs, casts and </w:t>
                  </w:r>
                  <w:proofErr w:type="gramStart"/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crystals.</w:t>
                  </w:r>
                  <w:proofErr w:type="gramEnd"/>
                </w:p>
              </w:tc>
              <w:tc>
                <w:tcPr>
                  <w:tcW w:w="2083" w:type="dxa"/>
                  <w:vAlign w:val="center"/>
                </w:tcPr>
                <w:p w:rsidR="00FA58EC" w:rsidRPr="00B46B0B" w:rsidRDefault="007C074A" w:rsidP="008F18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General urine examination</w:t>
                  </w:r>
                </w:p>
              </w:tc>
              <w:tc>
                <w:tcPr>
                  <w:tcW w:w="1811" w:type="dxa"/>
                  <w:vAlign w:val="center"/>
                </w:tcPr>
                <w:p w:rsidR="00FA58EC" w:rsidRPr="00B46B0B" w:rsidRDefault="00FA58EC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1556" w:type="dxa"/>
                  <w:vAlign w:val="center"/>
                </w:tcPr>
                <w:p w:rsidR="00FA58EC" w:rsidRPr="00B46B0B" w:rsidRDefault="00FA58EC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</w:tr>
            <w:tr w:rsidR="00207DCE" w:rsidRPr="00B46B0B" w:rsidTr="00596EB4">
              <w:tc>
                <w:tcPr>
                  <w:tcW w:w="923" w:type="dxa"/>
                  <w:vAlign w:val="center"/>
                </w:tcPr>
                <w:p w:rsidR="00FA58EC" w:rsidRPr="00B46B0B" w:rsidRDefault="00B46B0B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lastRenderedPageBreak/>
                    <w:t>12 and 13</w:t>
                  </w:r>
                </w:p>
              </w:tc>
              <w:tc>
                <w:tcPr>
                  <w:tcW w:w="973" w:type="dxa"/>
                  <w:vAlign w:val="center"/>
                </w:tcPr>
                <w:p w:rsidR="00FA58EC" w:rsidRPr="00B46B0B" w:rsidRDefault="007C074A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671" w:type="dxa"/>
                  <w:vAlign w:val="center"/>
                </w:tcPr>
                <w:p w:rsidR="00B46B0B" w:rsidRPr="00B46B0B" w:rsidRDefault="00B46B0B" w:rsidP="00B46B0B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Describing the principle of serological tests with special emphasis on the tests used for the diagnosis of the following:</w:t>
                  </w:r>
                </w:p>
                <w:p w:rsidR="00B46B0B" w:rsidRPr="00B46B0B" w:rsidRDefault="00B46B0B" w:rsidP="00B46B0B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Sexually trans</w:t>
                  </w: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mitted diseases</w:t>
                  </w: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,</w:t>
                  </w: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:rsidR="00B46B0B" w:rsidRPr="00B46B0B" w:rsidRDefault="00B46B0B" w:rsidP="00B46B0B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Hepatitis</w:t>
                  </w: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;</w:t>
                  </w:r>
                </w:p>
                <w:p w:rsidR="00B46B0B" w:rsidRPr="00B46B0B" w:rsidRDefault="00B46B0B" w:rsidP="00B46B0B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proofErr w:type="spellStart"/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Rheumatoloical</w:t>
                  </w:r>
                  <w:proofErr w:type="spellEnd"/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markers</w:t>
                  </w: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;</w:t>
                  </w:r>
                </w:p>
                <w:p w:rsidR="00B46B0B" w:rsidRPr="00B46B0B" w:rsidRDefault="00B46B0B" w:rsidP="00B46B0B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Typhoid fever and Brucellosis</w:t>
                  </w: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; and</w:t>
                  </w: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:rsidR="004450FF" w:rsidRPr="00B46B0B" w:rsidRDefault="00B46B0B" w:rsidP="00B46B0B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Pregnancy test.</w:t>
                  </w:r>
                </w:p>
              </w:tc>
              <w:tc>
                <w:tcPr>
                  <w:tcW w:w="2083" w:type="dxa"/>
                  <w:vAlign w:val="center"/>
                </w:tcPr>
                <w:p w:rsidR="00FA58EC" w:rsidRPr="00B46B0B" w:rsidRDefault="00B46B0B" w:rsidP="008F18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Serology </w:t>
                  </w:r>
                </w:p>
              </w:tc>
              <w:tc>
                <w:tcPr>
                  <w:tcW w:w="1811" w:type="dxa"/>
                  <w:vAlign w:val="center"/>
                </w:tcPr>
                <w:p w:rsidR="00FA58EC" w:rsidRPr="00B46B0B" w:rsidRDefault="00FA58EC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1556" w:type="dxa"/>
                  <w:vAlign w:val="center"/>
                </w:tcPr>
                <w:p w:rsidR="00FA58EC" w:rsidRPr="00B46B0B" w:rsidRDefault="00FA58EC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</w:tr>
            <w:tr w:rsidR="00207DCE" w:rsidRPr="00B46B0B" w:rsidTr="00596EB4">
              <w:tc>
                <w:tcPr>
                  <w:tcW w:w="923" w:type="dxa"/>
                  <w:vAlign w:val="center"/>
                </w:tcPr>
                <w:p w:rsidR="00FA58EC" w:rsidRPr="00B46B0B" w:rsidRDefault="00B46B0B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14 and 15</w:t>
                  </w:r>
                </w:p>
              </w:tc>
              <w:tc>
                <w:tcPr>
                  <w:tcW w:w="973" w:type="dxa"/>
                  <w:vAlign w:val="center"/>
                </w:tcPr>
                <w:p w:rsidR="00FA58EC" w:rsidRPr="00B46B0B" w:rsidRDefault="007C074A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671" w:type="dxa"/>
                  <w:vAlign w:val="center"/>
                </w:tcPr>
                <w:p w:rsidR="004450FF" w:rsidRPr="00B46B0B" w:rsidRDefault="00B46B0B" w:rsidP="004450FF">
                  <w:pPr>
                    <w:rPr>
                      <w:rFonts w:asciiTheme="majorBidi" w:eastAsia="Calibr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sz w:val="28"/>
                      <w:szCs w:val="28"/>
                    </w:rPr>
                    <w:t xml:space="preserve">Demonstrating the applications of   enzyme-linked </w:t>
                  </w:r>
                  <w:proofErr w:type="spellStart"/>
                  <w:r w:rsidRPr="00B46B0B">
                    <w:rPr>
                      <w:rFonts w:asciiTheme="majorBidi" w:eastAsia="Calibri" w:hAnsiTheme="majorBidi" w:cstheme="majorBidi"/>
                      <w:sz w:val="28"/>
                      <w:szCs w:val="28"/>
                    </w:rPr>
                    <w:t>immunosorbent</w:t>
                  </w:r>
                  <w:proofErr w:type="spellEnd"/>
                  <w:r w:rsidRPr="00B46B0B">
                    <w:rPr>
                      <w:rFonts w:asciiTheme="majorBidi" w:eastAsia="Calibri" w:hAnsiTheme="majorBidi" w:cstheme="majorBidi"/>
                      <w:sz w:val="28"/>
                      <w:szCs w:val="28"/>
                    </w:rPr>
                    <w:t xml:space="preserve"> assay (ELISA) and   polymerase chain reaction (PCR) and their potentials in clinical diagnosis</w:t>
                  </w:r>
                </w:p>
              </w:tc>
              <w:tc>
                <w:tcPr>
                  <w:tcW w:w="2083" w:type="dxa"/>
                  <w:vAlign w:val="center"/>
                </w:tcPr>
                <w:p w:rsidR="00FA58EC" w:rsidRPr="00B46B0B" w:rsidRDefault="00B46B0B" w:rsidP="008F186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eastAsia="Calibri" w:hAnsiTheme="majorBidi" w:cstheme="majorBidi"/>
                      <w:color w:val="000000"/>
                      <w:sz w:val="28"/>
                      <w:szCs w:val="28"/>
                      <w:lang w:bidi="ar-IQ"/>
                    </w:rPr>
                    <w:t>Biotechnology and advanced techniques</w:t>
                  </w:r>
                </w:p>
              </w:tc>
              <w:tc>
                <w:tcPr>
                  <w:tcW w:w="1811" w:type="dxa"/>
                  <w:vAlign w:val="center"/>
                </w:tcPr>
                <w:p w:rsidR="00FA58EC" w:rsidRPr="00B46B0B" w:rsidRDefault="00FA58EC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1556" w:type="dxa"/>
                  <w:vAlign w:val="center"/>
                </w:tcPr>
                <w:p w:rsidR="00FA58EC" w:rsidRPr="00B46B0B" w:rsidRDefault="00FA58EC" w:rsidP="00596EB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46B0B">
                    <w:rPr>
                      <w:rFonts w:asciiTheme="majorBidi" w:hAnsiTheme="majorBidi" w:cstheme="majorBidi"/>
                      <w:sz w:val="28"/>
                      <w:szCs w:val="28"/>
                    </w:rPr>
                    <w:t>=</w:t>
                  </w:r>
                </w:p>
              </w:tc>
            </w:tr>
          </w:tbl>
          <w:p w:rsidR="00FA58EC" w:rsidRPr="00B46B0B" w:rsidRDefault="00FA58EC" w:rsidP="00FA58EC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D36253" w:rsidRPr="00B46B0B" w:rsidTr="00D36253">
        <w:tc>
          <w:tcPr>
            <w:tcW w:w="10148" w:type="dxa"/>
            <w:gridSpan w:val="3"/>
            <w:shd w:val="clear" w:color="auto" w:fill="DEEAF6"/>
          </w:tcPr>
          <w:p w:rsidR="00D36253" w:rsidRPr="00B46B0B" w:rsidRDefault="00D36253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lastRenderedPageBreak/>
              <w:t>Course Evaluation</w:t>
            </w:r>
          </w:p>
        </w:tc>
      </w:tr>
      <w:tr w:rsidR="00D36253" w:rsidRPr="00B46B0B" w:rsidTr="00D36253">
        <w:tc>
          <w:tcPr>
            <w:tcW w:w="10148" w:type="dxa"/>
            <w:gridSpan w:val="3"/>
            <w:shd w:val="clear" w:color="auto" w:fill="auto"/>
          </w:tcPr>
          <w:p w:rsidR="00151255" w:rsidRPr="00B46B0B" w:rsidRDefault="0039089F" w:rsidP="000F62E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Quizzes, practical work, and activities 40 marks</w:t>
            </w:r>
          </w:p>
          <w:p w:rsidR="00D36253" w:rsidRPr="00B46B0B" w:rsidRDefault="00151255" w:rsidP="000F62E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Final examination 60 marks</w:t>
            </w:r>
            <w:r w:rsidR="00D36253" w:rsidRPr="00B46B0B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</w:tr>
      <w:tr w:rsidR="00D36253" w:rsidRPr="00B46B0B" w:rsidTr="00D36253">
        <w:tc>
          <w:tcPr>
            <w:tcW w:w="10148" w:type="dxa"/>
            <w:gridSpan w:val="3"/>
            <w:shd w:val="clear" w:color="auto" w:fill="DEEAF6"/>
          </w:tcPr>
          <w:p w:rsidR="00D36253" w:rsidRPr="00B46B0B" w:rsidRDefault="00D36253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Learning and Teaching Resources </w:t>
            </w:r>
          </w:p>
        </w:tc>
      </w:tr>
      <w:tr w:rsidR="00151255" w:rsidRPr="00B46B0B" w:rsidTr="0040314A">
        <w:tc>
          <w:tcPr>
            <w:tcW w:w="4306" w:type="dxa"/>
            <w:gridSpan w:val="2"/>
            <w:shd w:val="clear" w:color="auto" w:fill="auto"/>
          </w:tcPr>
          <w:p w:rsidR="00151255" w:rsidRPr="00B46B0B" w:rsidRDefault="00151255" w:rsidP="00A376D3">
            <w:p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t>Required textbooks (curricular books, if any)</w:t>
            </w:r>
          </w:p>
        </w:tc>
        <w:tc>
          <w:tcPr>
            <w:tcW w:w="5842" w:type="dxa"/>
            <w:shd w:val="clear" w:color="auto" w:fill="auto"/>
          </w:tcPr>
          <w:p w:rsidR="0039089F" w:rsidRPr="0039089F" w:rsidRDefault="0039089F" w:rsidP="0039089F">
            <w:pPr>
              <w:shd w:val="clear" w:color="auto" w:fill="FFFFFF"/>
              <w:autoSpaceDE w:val="0"/>
              <w:autoSpaceDN w:val="0"/>
              <w:adjustRightInd w:val="0"/>
              <w:ind w:left="31"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9089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Laboratory training booklet </w:t>
            </w:r>
          </w:p>
          <w:p w:rsidR="00151255" w:rsidRPr="00B46B0B" w:rsidRDefault="0039089F" w:rsidP="0039089F">
            <w:pPr>
              <w:shd w:val="clear" w:color="auto" w:fill="FFFFFF"/>
              <w:autoSpaceDE w:val="0"/>
              <w:autoSpaceDN w:val="0"/>
              <w:adjustRightInd w:val="0"/>
              <w:ind w:left="31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9089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(prepared by members of the clinical laboratory science department)</w:t>
            </w:r>
          </w:p>
        </w:tc>
      </w:tr>
      <w:tr w:rsidR="00585EBD" w:rsidRPr="00B46B0B" w:rsidTr="0040314A">
        <w:tc>
          <w:tcPr>
            <w:tcW w:w="4306" w:type="dxa"/>
            <w:gridSpan w:val="2"/>
            <w:shd w:val="clear" w:color="auto" w:fill="auto"/>
          </w:tcPr>
          <w:p w:rsidR="00585EBD" w:rsidRPr="00B46B0B" w:rsidRDefault="00585EBD" w:rsidP="008F1866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t>Main references (sources)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585EBD" w:rsidRPr="00B46B0B" w:rsidRDefault="00585EBD" w:rsidP="00D30A67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585EBD" w:rsidRPr="00B46B0B" w:rsidTr="0040314A">
        <w:tc>
          <w:tcPr>
            <w:tcW w:w="4306" w:type="dxa"/>
            <w:gridSpan w:val="2"/>
            <w:shd w:val="clear" w:color="auto" w:fill="auto"/>
          </w:tcPr>
          <w:p w:rsidR="00585EBD" w:rsidRPr="00B46B0B" w:rsidRDefault="00585EBD" w:rsidP="008F1866">
            <w:p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t>Recommended books and references (scientific journals, reports...)</w:t>
            </w:r>
          </w:p>
        </w:tc>
        <w:tc>
          <w:tcPr>
            <w:tcW w:w="5842" w:type="dxa"/>
            <w:shd w:val="clear" w:color="auto" w:fill="auto"/>
          </w:tcPr>
          <w:p w:rsidR="0039089F" w:rsidRPr="0039089F" w:rsidRDefault="00207DCE" w:rsidP="0039089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39089F" w:rsidRPr="0039089F">
              <w:rPr>
                <w:rFonts w:asciiTheme="majorBidi" w:hAnsiTheme="majorBidi" w:cstheme="majorBidi"/>
                <w:sz w:val="28"/>
                <w:szCs w:val="28"/>
              </w:rPr>
              <w:t>Henry's Clinical Diagnosis and Management by Laboratory Methods. 24th ed.; 2021.</w:t>
            </w:r>
          </w:p>
          <w:p w:rsidR="00585EBD" w:rsidRPr="00B46B0B" w:rsidRDefault="00207DCE" w:rsidP="0039089F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39089F" w:rsidRPr="0039089F">
              <w:rPr>
                <w:rFonts w:asciiTheme="majorBidi" w:hAnsiTheme="majorBidi" w:cstheme="majorBidi"/>
                <w:sz w:val="28"/>
                <w:szCs w:val="28"/>
              </w:rPr>
              <w:t>Clinical Laboratory Methods: Atlas of Commonly Performed Tests. 2022.</w:t>
            </w:r>
          </w:p>
        </w:tc>
      </w:tr>
      <w:tr w:rsidR="00D36253" w:rsidRPr="00B46B0B" w:rsidTr="0040314A">
        <w:tc>
          <w:tcPr>
            <w:tcW w:w="4306" w:type="dxa"/>
            <w:gridSpan w:val="2"/>
            <w:shd w:val="clear" w:color="auto" w:fill="auto"/>
          </w:tcPr>
          <w:p w:rsidR="00D36253" w:rsidRPr="00B46B0B" w:rsidRDefault="00D36253" w:rsidP="008F1866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B46B0B">
              <w:rPr>
                <w:rFonts w:asciiTheme="majorBidi" w:eastAsia="Calibri" w:hAnsiTheme="majorBidi" w:cstheme="majorBidi"/>
                <w:sz w:val="28"/>
                <w:szCs w:val="28"/>
              </w:rPr>
              <w:t>Electronic References, Websites</w:t>
            </w:r>
          </w:p>
        </w:tc>
        <w:tc>
          <w:tcPr>
            <w:tcW w:w="5842" w:type="dxa"/>
            <w:shd w:val="clear" w:color="auto" w:fill="auto"/>
          </w:tcPr>
          <w:p w:rsidR="00D36253" w:rsidRPr="00B46B0B" w:rsidRDefault="00D36253" w:rsidP="008F1866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AB3A8E" w:rsidRPr="00B46B0B" w:rsidRDefault="00AB3A8E" w:rsidP="00733B89">
      <w:pPr>
        <w:rPr>
          <w:rFonts w:asciiTheme="majorBidi" w:hAnsiTheme="majorBidi" w:cstheme="majorBidi"/>
        </w:rPr>
      </w:pPr>
    </w:p>
    <w:sectPr w:rsidR="00AB3A8E" w:rsidRPr="00B46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D98"/>
    <w:multiLevelType w:val="hybridMultilevel"/>
    <w:tmpl w:val="59FA42AE"/>
    <w:lvl w:ilvl="0" w:tplc="9126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1EC6"/>
    <w:multiLevelType w:val="hybridMultilevel"/>
    <w:tmpl w:val="6CF8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8E"/>
    <w:rsid w:val="00090E98"/>
    <w:rsid w:val="00096287"/>
    <w:rsid w:val="000E536E"/>
    <w:rsid w:val="000F62EA"/>
    <w:rsid w:val="00120AAA"/>
    <w:rsid w:val="00151255"/>
    <w:rsid w:val="00182EAD"/>
    <w:rsid w:val="00207DCE"/>
    <w:rsid w:val="0039089F"/>
    <w:rsid w:val="00401D98"/>
    <w:rsid w:val="0040314A"/>
    <w:rsid w:val="004450FF"/>
    <w:rsid w:val="00582A5D"/>
    <w:rsid w:val="00585EBD"/>
    <w:rsid w:val="00596EB4"/>
    <w:rsid w:val="005D0E52"/>
    <w:rsid w:val="005E1DFD"/>
    <w:rsid w:val="00717E16"/>
    <w:rsid w:val="00733B89"/>
    <w:rsid w:val="007C074A"/>
    <w:rsid w:val="008F1866"/>
    <w:rsid w:val="009D3B50"/>
    <w:rsid w:val="00A01AA1"/>
    <w:rsid w:val="00A12E4F"/>
    <w:rsid w:val="00A376D3"/>
    <w:rsid w:val="00A732E0"/>
    <w:rsid w:val="00AB3A8E"/>
    <w:rsid w:val="00B46B0B"/>
    <w:rsid w:val="00D30A67"/>
    <w:rsid w:val="00D36253"/>
    <w:rsid w:val="00DA7D5F"/>
    <w:rsid w:val="00DD42A3"/>
    <w:rsid w:val="00DE205B"/>
    <w:rsid w:val="00E04ECF"/>
    <w:rsid w:val="00F37A47"/>
    <w:rsid w:val="00F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8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B5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D3B50"/>
  </w:style>
  <w:style w:type="paragraph" w:styleId="ListParagraph">
    <w:name w:val="List Paragraph"/>
    <w:basedOn w:val="Normal"/>
    <w:uiPriority w:val="34"/>
    <w:qFormat/>
    <w:rsid w:val="00A37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8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B5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D3B50"/>
  </w:style>
  <w:style w:type="paragraph" w:styleId="ListParagraph">
    <w:name w:val="List Paragraph"/>
    <w:basedOn w:val="Normal"/>
    <w:uiPriority w:val="34"/>
    <w:qFormat/>
    <w:rsid w:val="00A3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Ali</cp:lastModifiedBy>
  <cp:revision>3</cp:revision>
  <dcterms:created xsi:type="dcterms:W3CDTF">2024-04-05T11:32:00Z</dcterms:created>
  <dcterms:modified xsi:type="dcterms:W3CDTF">2024-04-05T14:42:00Z</dcterms:modified>
</cp:coreProperties>
</file>