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09F" w:rsidRDefault="00265A49">
      <w:pPr>
        <w:shd w:val="clear" w:color="auto" w:fill="FFFFFF"/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Course Description Form</w:t>
      </w:r>
    </w:p>
    <w:tbl>
      <w:tblPr>
        <w:tblStyle w:val="a"/>
        <w:tblW w:w="110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7"/>
        <w:gridCol w:w="541"/>
        <w:gridCol w:w="299"/>
        <w:gridCol w:w="2349"/>
        <w:gridCol w:w="865"/>
        <w:gridCol w:w="280"/>
        <w:gridCol w:w="1467"/>
        <w:gridCol w:w="1657"/>
        <w:gridCol w:w="2318"/>
      </w:tblGrid>
      <w:tr w:rsidR="00FA409F">
        <w:tc>
          <w:tcPr>
            <w:tcW w:w="11023" w:type="dxa"/>
            <w:gridSpan w:val="9"/>
            <w:shd w:val="clear" w:color="auto" w:fill="DEEAF6"/>
          </w:tcPr>
          <w:p w:rsidR="00FA409F" w:rsidRDefault="00265A49">
            <w:pPr>
              <w:numPr>
                <w:ilvl w:val="0"/>
                <w:numId w:val="2"/>
              </w:num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Course Name: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Pharmaceutical Calculation </w:t>
            </w:r>
          </w:p>
        </w:tc>
      </w:tr>
      <w:tr w:rsidR="00FA409F">
        <w:tc>
          <w:tcPr>
            <w:tcW w:w="11023" w:type="dxa"/>
            <w:gridSpan w:val="9"/>
            <w:shd w:val="clear" w:color="auto" w:fill="auto"/>
          </w:tcPr>
          <w:p w:rsidR="00FA409F" w:rsidRDefault="00FA409F">
            <w:p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FA409F">
        <w:tc>
          <w:tcPr>
            <w:tcW w:w="11023" w:type="dxa"/>
            <w:gridSpan w:val="9"/>
            <w:shd w:val="clear" w:color="auto" w:fill="DEEAF6"/>
          </w:tcPr>
          <w:p w:rsidR="00FA409F" w:rsidRDefault="00265A49">
            <w:pPr>
              <w:numPr>
                <w:ilvl w:val="0"/>
                <w:numId w:val="2"/>
              </w:num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Course Code: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109 </w:t>
            </w:r>
            <w:proofErr w:type="spellStart"/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PPhc</w:t>
            </w:r>
            <w:proofErr w:type="spellEnd"/>
          </w:p>
        </w:tc>
      </w:tr>
      <w:tr w:rsidR="00FA409F">
        <w:tc>
          <w:tcPr>
            <w:tcW w:w="11023" w:type="dxa"/>
            <w:gridSpan w:val="9"/>
            <w:shd w:val="clear" w:color="auto" w:fill="auto"/>
          </w:tcPr>
          <w:p w:rsidR="00FA409F" w:rsidRDefault="00FA409F">
            <w:p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FA409F">
        <w:tc>
          <w:tcPr>
            <w:tcW w:w="11023" w:type="dxa"/>
            <w:gridSpan w:val="9"/>
            <w:shd w:val="clear" w:color="auto" w:fill="DEEAF6"/>
          </w:tcPr>
          <w:p w:rsidR="00FA409F" w:rsidRDefault="00265A49">
            <w:pPr>
              <w:numPr>
                <w:ilvl w:val="0"/>
                <w:numId w:val="2"/>
              </w:num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Semester / Year: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2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vertAlign w:val="superscript"/>
              </w:rPr>
              <w:t>nd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2023-2024</w:t>
            </w:r>
          </w:p>
        </w:tc>
      </w:tr>
      <w:tr w:rsidR="00FA409F">
        <w:tc>
          <w:tcPr>
            <w:tcW w:w="11023" w:type="dxa"/>
            <w:gridSpan w:val="9"/>
            <w:shd w:val="clear" w:color="auto" w:fill="auto"/>
          </w:tcPr>
          <w:p w:rsidR="00FA409F" w:rsidRDefault="00FA409F">
            <w:p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FA409F">
        <w:tc>
          <w:tcPr>
            <w:tcW w:w="11023" w:type="dxa"/>
            <w:gridSpan w:val="9"/>
            <w:shd w:val="clear" w:color="auto" w:fill="DEEAF6"/>
          </w:tcPr>
          <w:p w:rsidR="00FA409F" w:rsidRDefault="00265A49">
            <w:pPr>
              <w:numPr>
                <w:ilvl w:val="0"/>
                <w:numId w:val="2"/>
              </w:num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Description Preparation Date: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2024</w:t>
            </w:r>
          </w:p>
        </w:tc>
      </w:tr>
      <w:tr w:rsidR="00FA409F">
        <w:tc>
          <w:tcPr>
            <w:tcW w:w="11023" w:type="dxa"/>
            <w:gridSpan w:val="9"/>
            <w:shd w:val="clear" w:color="auto" w:fill="auto"/>
          </w:tcPr>
          <w:p w:rsidR="00FA409F" w:rsidRDefault="00FA409F">
            <w:p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FA409F">
        <w:tc>
          <w:tcPr>
            <w:tcW w:w="11023" w:type="dxa"/>
            <w:gridSpan w:val="9"/>
            <w:shd w:val="clear" w:color="auto" w:fill="DEEAF6"/>
          </w:tcPr>
          <w:p w:rsidR="00FA409F" w:rsidRDefault="00265A4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Available Attendance Forms: 2024</w:t>
            </w:r>
          </w:p>
        </w:tc>
      </w:tr>
      <w:tr w:rsidR="00FA409F">
        <w:tc>
          <w:tcPr>
            <w:tcW w:w="11023" w:type="dxa"/>
            <w:gridSpan w:val="9"/>
            <w:shd w:val="clear" w:color="auto" w:fill="auto"/>
          </w:tcPr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FA409F">
        <w:tc>
          <w:tcPr>
            <w:tcW w:w="11023" w:type="dxa"/>
            <w:gridSpan w:val="9"/>
            <w:shd w:val="clear" w:color="auto" w:fill="DEEAF6"/>
          </w:tcPr>
          <w:p w:rsidR="00FA409F" w:rsidRDefault="00265A4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Credit Hours (Total) / Number of Units (Total) 4</w:t>
            </w:r>
          </w:p>
        </w:tc>
      </w:tr>
      <w:tr w:rsidR="00FA409F">
        <w:tc>
          <w:tcPr>
            <w:tcW w:w="11023" w:type="dxa"/>
            <w:gridSpan w:val="9"/>
            <w:shd w:val="clear" w:color="auto" w:fill="auto"/>
          </w:tcPr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FA409F">
        <w:tc>
          <w:tcPr>
            <w:tcW w:w="11023" w:type="dxa"/>
            <w:gridSpan w:val="9"/>
            <w:shd w:val="clear" w:color="auto" w:fill="DEEAF6"/>
          </w:tcPr>
          <w:p w:rsidR="00FA409F" w:rsidRDefault="00265A49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Course administrator's name (mention all, if more than one name) </w:t>
            </w:r>
          </w:p>
        </w:tc>
      </w:tr>
      <w:tr w:rsidR="00FA409F">
        <w:tc>
          <w:tcPr>
            <w:tcW w:w="11023" w:type="dxa"/>
            <w:gridSpan w:val="9"/>
            <w:shd w:val="clear" w:color="auto" w:fill="auto"/>
          </w:tcPr>
          <w:p w:rsidR="00FA409F" w:rsidRDefault="00265A49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Name: Assistant prof. Dr. Fatima Jalal Jawad &amp; Assistant prof.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Dr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 Khalid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Khadim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Abid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 </w:t>
            </w:r>
          </w:p>
          <w:p w:rsidR="00FA409F" w:rsidRDefault="00265A49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Email: drfatimajalal@copharm.uobaghdad.edu.iq </w:t>
            </w:r>
          </w:p>
          <w:p w:rsidR="00FA409F" w:rsidRDefault="00255EF0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Zainabthabit</w:t>
            </w:r>
            <w:bookmarkStart w:id="1" w:name="_GoBack"/>
            <w:bookmarkEnd w:id="1"/>
            <w:proofErr w:type="spellEnd"/>
            <w:r w:rsidR="00265A49"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@ copharm.uobaghdad.edu.iq</w:t>
            </w: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FA409F">
        <w:tc>
          <w:tcPr>
            <w:tcW w:w="11023" w:type="dxa"/>
            <w:gridSpan w:val="9"/>
            <w:shd w:val="clear" w:color="auto" w:fill="DEEAF6"/>
          </w:tcPr>
          <w:p w:rsidR="00FA409F" w:rsidRDefault="00265A49">
            <w:pPr>
              <w:numPr>
                <w:ilvl w:val="0"/>
                <w:numId w:val="2"/>
              </w:numPr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FA409F">
        <w:tc>
          <w:tcPr>
            <w:tcW w:w="5581" w:type="dxa"/>
            <w:gridSpan w:val="6"/>
            <w:shd w:val="clear" w:color="auto" w:fill="auto"/>
          </w:tcPr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>Course Objectives</w:t>
            </w:r>
          </w:p>
        </w:tc>
        <w:tc>
          <w:tcPr>
            <w:tcW w:w="5442" w:type="dxa"/>
            <w:gridSpan w:val="3"/>
            <w:shd w:val="clear" w:color="auto" w:fill="auto"/>
          </w:tcPr>
          <w:p w:rsidR="00FA409F" w:rsidRDefault="00265A49">
            <w:pPr>
              <w:ind w:right="-426"/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>The student will be able to:</w:t>
            </w:r>
          </w:p>
          <w:p w:rsidR="00FA409F" w:rsidRDefault="00265A49">
            <w:pPr>
              <w:ind w:right="-426"/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>1.Differentiate between the various kinds of doses.</w:t>
            </w:r>
          </w:p>
          <w:p w:rsidR="00FA409F" w:rsidRDefault="00265A49">
            <w:pPr>
              <w:ind w:right="-426"/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 xml:space="preserve"> 2. Describe the primary routes of drug/dose, administration and, for each, the dosage </w:t>
            </w:r>
          </w:p>
          <w:p w:rsidR="00FA409F" w:rsidRDefault="00265A49">
            <w:pPr>
              <w:ind w:right="-426"/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 xml:space="preserve">Forms utilized. </w:t>
            </w:r>
          </w:p>
          <w:p w:rsidR="00FA409F" w:rsidRDefault="00265A49">
            <w:pPr>
              <w:ind w:right="-426"/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>3. Perform calculations of doses involving household measures.</w:t>
            </w:r>
          </w:p>
          <w:p w:rsidR="00FA409F" w:rsidRDefault="00265A49">
            <w:pPr>
              <w:ind w:right="-426"/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 xml:space="preserve"> 4. Perform calculations pertaining to the quantity of a dose, the dosage regimen, and the supply</w:t>
            </w:r>
          </w:p>
          <w:p w:rsidR="00FA409F" w:rsidRDefault="00265A49">
            <w:pPr>
              <w:ind w:right="-426"/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>of medication required for the prescribed period......</w:t>
            </w:r>
          </w:p>
          <w:p w:rsidR="00FA409F" w:rsidRDefault="00FA409F">
            <w:pPr>
              <w:ind w:right="-426"/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</w:pPr>
          </w:p>
          <w:p w:rsidR="00FA409F" w:rsidRDefault="00265A49">
            <w:pPr>
              <w:ind w:right="-426"/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>5. Describe factors to consider in determining doses for pediatric and elderly patients.</w:t>
            </w:r>
          </w:p>
          <w:p w:rsidR="00FA409F" w:rsidRDefault="00265A49">
            <w:pPr>
              <w:ind w:right="-426"/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lastRenderedPageBreak/>
              <w:t>6. Calculate doses based on factors of age, body weight, and body surface area.</w:t>
            </w:r>
          </w:p>
          <w:p w:rsidR="00FA409F" w:rsidRDefault="00265A49">
            <w:pPr>
              <w:ind w:right="-426"/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>7. Utilize dosing tables and nomograms in calculations.</w:t>
            </w:r>
          </w:p>
          <w:p w:rsidR="00FA409F" w:rsidRDefault="00265A49">
            <w:pPr>
              <w:ind w:right="-426"/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>8. Calculate doses for single and combination chemotherapy regimens.</w:t>
            </w:r>
          </w:p>
          <w:p w:rsidR="00FA409F" w:rsidRDefault="00FA409F">
            <w:pPr>
              <w:ind w:right="-426"/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</w:pPr>
          </w:p>
          <w:p w:rsidR="00FA409F" w:rsidRDefault="00265A49">
            <w:pPr>
              <w:ind w:right="-426"/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>9.Differentiate between the terms isosmotic, isotonic, hypertonic, and hypotonic.</w:t>
            </w:r>
          </w:p>
          <w:p w:rsidR="00FA409F" w:rsidRDefault="00265A49">
            <w:pPr>
              <w:ind w:right="-426"/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>10.  Apply physical chemical principles in the calculation of isotonic solutions.</w:t>
            </w:r>
          </w:p>
          <w:p w:rsidR="00FA409F" w:rsidRDefault="00265A49">
            <w:pPr>
              <w:ind w:right="-426"/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>11. Perform the calculations required to prepare isotonic compounded prescriptions.</w:t>
            </w:r>
          </w:p>
          <w:p w:rsidR="00FA409F" w:rsidRDefault="00265A49">
            <w:pPr>
              <w:ind w:right="-426"/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 xml:space="preserve">Calculate the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>milliequivalent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 xml:space="preserve"> weight from an atomic or formula weight.</w:t>
            </w:r>
          </w:p>
          <w:p w:rsidR="00FA409F" w:rsidRDefault="00265A49">
            <w:pPr>
              <w:ind w:right="-426"/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 xml:space="preserve">12. Convert between milligrams and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>milliequivalents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>.</w:t>
            </w:r>
          </w:p>
          <w:p w:rsidR="00FA409F" w:rsidRDefault="00265A49">
            <w:pPr>
              <w:ind w:right="-426"/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 xml:space="preserve">13. Calculate problems involving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>milliequivalents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>.</w:t>
            </w:r>
          </w:p>
          <w:p w:rsidR="00FA409F" w:rsidRDefault="00265A49">
            <w:pPr>
              <w:ind w:right="-426"/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 xml:space="preserve">14.  Calculate problems involving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>millimoles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 xml:space="preserve"> and milliosmoles.</w:t>
            </w:r>
          </w:p>
          <w:p w:rsidR="00FA409F" w:rsidRDefault="00FA409F">
            <w:pPr>
              <w:ind w:right="-426"/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</w:pPr>
          </w:p>
          <w:p w:rsidR="00FA409F" w:rsidRDefault="00265A49">
            <w:pPr>
              <w:ind w:right="-426"/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>15. Perform calculations for altering product strength by dilution, concentration, or fortification.</w:t>
            </w:r>
          </w:p>
          <w:p w:rsidR="00FA409F" w:rsidRDefault="00265A49">
            <w:pPr>
              <w:ind w:right="-426"/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>16. Perform calculations for the preparation and use of stock solutions.</w:t>
            </w:r>
          </w:p>
          <w:p w:rsidR="00FA409F" w:rsidRDefault="00265A49">
            <w:pPr>
              <w:ind w:right="-426"/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 xml:space="preserve">17. Apply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>alligation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 xml:space="preserve"> medial and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>alligation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 xml:space="preserve"> alternate in problem-solving</w:t>
            </w:r>
          </w:p>
          <w:p w:rsidR="00FA409F" w:rsidRDefault="00FA409F">
            <w:pPr>
              <w:ind w:right="-426"/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</w:pPr>
          </w:p>
          <w:p w:rsidR="00FA409F" w:rsidRDefault="00FA409F">
            <w:pPr>
              <w:ind w:left="1530" w:right="-426"/>
              <w:jc w:val="both"/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</w:pPr>
          </w:p>
        </w:tc>
      </w:tr>
      <w:tr w:rsidR="00FA409F">
        <w:tc>
          <w:tcPr>
            <w:tcW w:w="11023" w:type="dxa"/>
            <w:gridSpan w:val="9"/>
            <w:shd w:val="clear" w:color="auto" w:fill="DEEAF6"/>
          </w:tcPr>
          <w:p w:rsidR="00FA409F" w:rsidRDefault="00265A49">
            <w:pPr>
              <w:numPr>
                <w:ilvl w:val="0"/>
                <w:numId w:val="2"/>
              </w:numPr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lastRenderedPageBreak/>
              <w:t xml:space="preserve">Teaching and Learning Strategies </w:t>
            </w:r>
          </w:p>
        </w:tc>
      </w:tr>
      <w:tr w:rsidR="00FA409F">
        <w:tc>
          <w:tcPr>
            <w:tcW w:w="1788" w:type="dxa"/>
            <w:gridSpan w:val="2"/>
            <w:shd w:val="clear" w:color="auto" w:fill="auto"/>
          </w:tcPr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>Strategy</w:t>
            </w:r>
          </w:p>
        </w:tc>
        <w:tc>
          <w:tcPr>
            <w:tcW w:w="9235" w:type="dxa"/>
            <w:gridSpan w:val="7"/>
            <w:shd w:val="clear" w:color="auto" w:fill="auto"/>
          </w:tcPr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Lectures and Presentation, Discussions, Laboratory experiments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And Inverted classrooms</w:t>
            </w:r>
            <w:r>
              <w:rPr>
                <w:sz w:val="24"/>
                <w:szCs w:val="24"/>
              </w:rPr>
              <w:t xml:space="preserve"> with learning strategies: </w:t>
            </w:r>
          </w:p>
          <w:p w:rsidR="00FA409F" w:rsidRDefault="00FA409F">
            <w:pPr>
              <w:shd w:val="clear" w:color="auto" w:fill="FFFFFF"/>
              <w:ind w:right="-426"/>
              <w:jc w:val="both"/>
            </w:pPr>
          </w:p>
          <w:p w:rsidR="00FA409F" w:rsidRDefault="00265A49">
            <w:pPr>
              <w:shd w:val="clear" w:color="auto" w:fill="FFFFFF"/>
              <w:ind w:right="-426"/>
              <w:jc w:val="both"/>
            </w:pPr>
            <w:r>
              <w:t>1. Tuning in …can be used to determine students’ current knowledge and skills.</w:t>
            </w:r>
          </w:p>
          <w:p w:rsidR="00FA409F" w:rsidRDefault="00265A49">
            <w:pPr>
              <w:shd w:val="clear" w:color="auto" w:fill="FFFFFF"/>
              <w:ind w:right="-426"/>
              <w:jc w:val="both"/>
            </w:pPr>
            <w:r>
              <w:t>2. Finding out … encourage investigation and independent learning.</w:t>
            </w:r>
          </w:p>
          <w:p w:rsidR="00FA409F" w:rsidRDefault="00265A49">
            <w:pPr>
              <w:shd w:val="clear" w:color="auto" w:fill="FFFFFF"/>
              <w:ind w:right="-426"/>
              <w:jc w:val="both"/>
            </w:pPr>
            <w:r>
              <w:t xml:space="preserve"> 3- Sorting out … encourage the analysis. </w:t>
            </w:r>
          </w:p>
          <w:p w:rsidR="00FA409F" w:rsidRDefault="00265A49">
            <w:pPr>
              <w:shd w:val="clear" w:color="auto" w:fill="FFFFFF"/>
              <w:ind w:right="-426"/>
              <w:jc w:val="both"/>
            </w:pPr>
            <w:r>
              <w:t xml:space="preserve">4- Developing values … allow students to identify, </w:t>
            </w:r>
          </w:p>
          <w:p w:rsidR="00FA409F" w:rsidRDefault="00265A49">
            <w:pPr>
              <w:shd w:val="clear" w:color="auto" w:fill="FFFFFF"/>
              <w:ind w:right="-426"/>
              <w:jc w:val="both"/>
            </w:pPr>
            <w:r>
              <w:t xml:space="preserve">5- Speaking out … provide opportunities for students to develop the 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t>6-Reflecting … allow students to identify, discuss and consider the changes in their understandings.</w:t>
            </w:r>
          </w:p>
          <w:p w:rsidR="00FA409F" w:rsidRDefault="00FA409F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FA409F">
        <w:tc>
          <w:tcPr>
            <w:tcW w:w="11023" w:type="dxa"/>
            <w:gridSpan w:val="9"/>
            <w:shd w:val="clear" w:color="auto" w:fill="DEEAF6"/>
          </w:tcPr>
          <w:p w:rsidR="00FA409F" w:rsidRDefault="00265A49">
            <w:pPr>
              <w:numPr>
                <w:ilvl w:val="0"/>
                <w:numId w:val="2"/>
              </w:numPr>
              <w:ind w:left="513" w:hanging="513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lastRenderedPageBreak/>
              <w:t>Course Structure</w:t>
            </w:r>
          </w:p>
        </w:tc>
      </w:tr>
      <w:tr w:rsidR="00FA409F">
        <w:trPr>
          <w:trHeight w:val="182"/>
        </w:trPr>
        <w:tc>
          <w:tcPr>
            <w:tcW w:w="1247" w:type="dxa"/>
            <w:shd w:val="clear" w:color="auto" w:fill="BDD6EE"/>
          </w:tcPr>
          <w:p w:rsidR="00FA409F" w:rsidRDefault="00265A49">
            <w:pPr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  <w:t xml:space="preserve">Week  </w:t>
            </w:r>
          </w:p>
        </w:tc>
        <w:tc>
          <w:tcPr>
            <w:tcW w:w="840" w:type="dxa"/>
            <w:gridSpan w:val="2"/>
            <w:shd w:val="clear" w:color="auto" w:fill="BDD6EE"/>
          </w:tcPr>
          <w:p w:rsidR="00FA409F" w:rsidRDefault="00265A49">
            <w:pPr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  <w:t xml:space="preserve">Hours </w:t>
            </w:r>
          </w:p>
        </w:tc>
        <w:tc>
          <w:tcPr>
            <w:tcW w:w="2349" w:type="dxa"/>
            <w:shd w:val="clear" w:color="auto" w:fill="BDD6EE"/>
          </w:tcPr>
          <w:p w:rsidR="00FA409F" w:rsidRDefault="00265A49">
            <w:pPr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2612" w:type="dxa"/>
            <w:gridSpan w:val="3"/>
            <w:shd w:val="clear" w:color="auto" w:fill="BDD6EE"/>
          </w:tcPr>
          <w:p w:rsidR="00FA409F" w:rsidRDefault="00265A49">
            <w:pPr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  <w:t xml:space="preserve">Unit or subject name </w:t>
            </w:r>
          </w:p>
        </w:tc>
        <w:tc>
          <w:tcPr>
            <w:tcW w:w="1657" w:type="dxa"/>
            <w:shd w:val="clear" w:color="auto" w:fill="BDD6EE"/>
          </w:tcPr>
          <w:p w:rsidR="00FA409F" w:rsidRDefault="00265A49">
            <w:pPr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  <w:t xml:space="preserve">Learning method </w:t>
            </w:r>
          </w:p>
        </w:tc>
        <w:tc>
          <w:tcPr>
            <w:tcW w:w="2318" w:type="dxa"/>
            <w:shd w:val="clear" w:color="auto" w:fill="BDD6EE"/>
          </w:tcPr>
          <w:p w:rsidR="00FA409F" w:rsidRDefault="00265A49">
            <w:pPr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  <w:t xml:space="preserve">Evaluation method </w:t>
            </w:r>
          </w:p>
        </w:tc>
      </w:tr>
      <w:tr w:rsidR="00FA409F">
        <w:trPr>
          <w:trHeight w:val="181"/>
        </w:trPr>
        <w:tc>
          <w:tcPr>
            <w:tcW w:w="1247" w:type="dxa"/>
            <w:shd w:val="clear" w:color="auto" w:fill="auto"/>
          </w:tcPr>
          <w:p w:rsidR="00FA409F" w:rsidRDefault="00265A49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</w:t>
            </w: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265A49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</w:t>
            </w: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265A49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</w:t>
            </w: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265A49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4</w:t>
            </w: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265A49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5</w:t>
            </w: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265A49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6</w:t>
            </w: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265A49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7</w:t>
            </w: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265A49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8</w:t>
            </w: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265A49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9</w:t>
            </w: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265A49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10</w:t>
            </w: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265A49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11</w:t>
            </w: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265A49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12</w:t>
            </w: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265A49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13</w:t>
            </w: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265A49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14</w:t>
            </w: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265A49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15 </w:t>
            </w: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265A49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16</w:t>
            </w: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265A49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lastRenderedPageBreak/>
              <w:t>17</w:t>
            </w: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265A49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18</w:t>
            </w: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265A49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19</w:t>
            </w: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265A49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lastRenderedPageBreak/>
              <w:t>1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4</w:t>
            </w:r>
          </w:p>
          <w:p w:rsidR="00FA409F" w:rsidRDefault="00FA409F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5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6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7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8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9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10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11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12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13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14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15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16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17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18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19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20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21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22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23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24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25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26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27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28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29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30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31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32</w:t>
            </w:r>
          </w:p>
          <w:p w:rsidR="00FA409F" w:rsidRDefault="00FA409F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lastRenderedPageBreak/>
              <w:t>33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34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35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36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37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38</w:t>
            </w:r>
          </w:p>
          <w:p w:rsidR="00FA409F" w:rsidRDefault="00FA409F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40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349" w:type="dxa"/>
            <w:shd w:val="clear" w:color="auto" w:fill="auto"/>
          </w:tcPr>
          <w:p w:rsidR="00FA409F" w:rsidRDefault="00265A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lastRenderedPageBreak/>
              <w:t>Dose Definitions</w:t>
            </w:r>
          </w:p>
          <w:p w:rsidR="00FA409F" w:rsidRDefault="00265A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Routes of Drug/Dose Administration and Dosage Forms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Calculations of Dose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Based on 1. Age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                   2. weight 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                   3. BSA</w:t>
            </w:r>
          </w:p>
          <w:p w:rsidR="00FA409F" w:rsidRDefault="00FA409F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:rsidR="00FA409F" w:rsidRDefault="00FA409F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:rsidR="00FA409F" w:rsidRDefault="00265A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Special 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Dosing Considerations 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 Cancer Chemotherapy</w:t>
            </w: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:rsidR="00FA409F" w:rsidRDefault="00265A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Special 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Clinical Considerations of Tonicity</w:t>
            </w:r>
          </w:p>
          <w:p w:rsidR="00FA409F" w:rsidRDefault="00FA409F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:rsidR="00FA409F" w:rsidRDefault="00FA409F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:rsidR="00FA409F" w:rsidRDefault="00265A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Physical/</w:t>
            </w:r>
          </w:p>
          <w:p w:rsidR="00FA409F" w:rsidRDefault="0026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 w:right="-42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Chemical Considerations </w:t>
            </w:r>
          </w:p>
          <w:p w:rsidR="00FA409F" w:rsidRDefault="0026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 w:right="-42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 the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Preparation of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Isotonic Solutions</w:t>
            </w:r>
          </w:p>
          <w:p w:rsidR="00FA409F" w:rsidRDefault="00FA409F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:rsidR="00FA409F" w:rsidRDefault="00265A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Electrolyte </w:t>
            </w:r>
          </w:p>
          <w:p w:rsidR="00FA409F" w:rsidRDefault="00265A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Solutions: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Milliequivalents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Millimoles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, and Milliosmoles. </w:t>
            </w:r>
          </w:p>
          <w:p w:rsidR="00FA409F" w:rsidRDefault="00265A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Clinical Considerations of Water and Electrolyte</w:t>
            </w:r>
          </w:p>
          <w:p w:rsidR="00FA409F" w:rsidRDefault="0026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Balance.</w:t>
            </w:r>
          </w:p>
          <w:p w:rsidR="00FA409F" w:rsidRDefault="00FA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:rsidR="00FA409F" w:rsidRDefault="00265A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Special Considerations of Altering Product Strength in Pharmaceutical</w:t>
            </w:r>
          </w:p>
          <w:p w:rsidR="00FA409F" w:rsidRDefault="00265A49">
            <w:pP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Compounding </w:t>
            </w:r>
          </w:p>
          <w:p w:rsidR="00FA409F" w:rsidRDefault="00265A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Relationship Between Strength and Total Quantity </w:t>
            </w:r>
          </w:p>
          <w:p w:rsidR="00FA409F" w:rsidRDefault="00265A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lastRenderedPageBreak/>
              <w:t xml:space="preserve">Dilution and Concentration of Liquids </w:t>
            </w:r>
          </w:p>
          <w:p w:rsidR="00FA409F" w:rsidRDefault="00265A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Strengthening of a Pharmaceutical Product </w:t>
            </w:r>
          </w:p>
          <w:p w:rsidR="00FA409F" w:rsidRDefault="00265A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Stock Solutions </w:t>
            </w:r>
          </w:p>
          <w:p w:rsidR="00FA409F" w:rsidRDefault="00265A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Dilution of Alcohol</w:t>
            </w:r>
          </w:p>
          <w:p w:rsidR="00FA409F" w:rsidRDefault="00265A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Dilution of Acids </w:t>
            </w:r>
          </w:p>
          <w:p w:rsidR="00FA409F" w:rsidRDefault="00FA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:rsidR="00FA409F" w:rsidRDefault="00FA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:rsidR="00FA409F" w:rsidRDefault="00FA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:rsidR="00FA409F" w:rsidRDefault="00FA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612" w:type="dxa"/>
            <w:gridSpan w:val="3"/>
            <w:shd w:val="clear" w:color="auto" w:fill="auto"/>
          </w:tcPr>
          <w:p w:rsidR="00FA409F" w:rsidRDefault="00265A49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lastRenderedPageBreak/>
              <w:t>Dose</w:t>
            </w: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265A49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Dose parameters </w:t>
            </w: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265A49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Isotonic solution</w:t>
            </w: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265A49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Electrolytes </w:t>
            </w:r>
          </w:p>
          <w:p w:rsidR="00FA409F" w:rsidRDefault="00265A49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solutions</w:t>
            </w: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Altering Product Strength, Use of Stock Solutions, and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Problem-Solving by </w:t>
            </w:r>
          </w:p>
          <w:p w:rsidR="00FA409F" w:rsidRDefault="00265A49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Alligation</w:t>
            </w:r>
            <w:proofErr w:type="spellEnd"/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</w:tcPr>
          <w:p w:rsidR="00FA409F" w:rsidRDefault="00265A49">
            <w:pPr>
              <w:shd w:val="clear" w:color="auto" w:fill="FFFFFF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Lectures</w:t>
            </w:r>
          </w:p>
          <w:p w:rsidR="00FA409F" w:rsidRDefault="00265A49">
            <w:pPr>
              <w:shd w:val="clear" w:color="auto" w:fill="FFFFFF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-White board</w:t>
            </w:r>
          </w:p>
          <w:p w:rsidR="00FA409F" w:rsidRDefault="00265A49">
            <w:pPr>
              <w:shd w:val="clear" w:color="auto" w:fill="FFFFFF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-Data show</w:t>
            </w:r>
          </w:p>
          <w:p w:rsidR="00FA409F" w:rsidRDefault="00265A49">
            <w:pPr>
              <w:shd w:val="clear" w:color="auto" w:fill="FFFFFF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-Power point</w:t>
            </w:r>
          </w:p>
          <w:p w:rsidR="00FA409F" w:rsidRDefault="00265A49">
            <w:pPr>
              <w:shd w:val="clear" w:color="auto" w:fill="FFFFFF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-Explanatory diagrams </w:t>
            </w:r>
          </w:p>
          <w:p w:rsidR="00FA409F" w:rsidRDefault="00FA409F">
            <w:pPr>
              <w:shd w:val="clear" w:color="auto" w:fill="FFFFFF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FA409F" w:rsidRDefault="00FA409F">
            <w:pPr>
              <w:shd w:val="clear" w:color="auto" w:fill="FFFFFF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FA409F" w:rsidRDefault="00FA409F">
            <w:pPr>
              <w:shd w:val="clear" w:color="auto" w:fill="FFFFFF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</w:tcPr>
          <w:p w:rsidR="00FA409F" w:rsidRDefault="00265A49">
            <w:pPr>
              <w:shd w:val="clear" w:color="auto" w:fill="FFFFFF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-Written exams</w:t>
            </w:r>
          </w:p>
          <w:p w:rsidR="00FA409F" w:rsidRDefault="00265A49">
            <w:pPr>
              <w:shd w:val="clear" w:color="auto" w:fill="FFFFFF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Oral exams</w:t>
            </w:r>
          </w:p>
          <w:p w:rsidR="00FA409F" w:rsidRDefault="00265A49">
            <w:pPr>
              <w:shd w:val="clear" w:color="auto" w:fill="FFFFFF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-Laboratory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reports</w:t>
            </w: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FA409F">
        <w:tc>
          <w:tcPr>
            <w:tcW w:w="11023" w:type="dxa"/>
            <w:gridSpan w:val="9"/>
            <w:shd w:val="clear" w:color="auto" w:fill="DEEAF6"/>
          </w:tcPr>
          <w:p w:rsidR="00FA409F" w:rsidRDefault="00265A49">
            <w:pPr>
              <w:numPr>
                <w:ilvl w:val="0"/>
                <w:numId w:val="2"/>
              </w:numPr>
              <w:ind w:left="513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Course Evaluation</w:t>
            </w:r>
          </w:p>
        </w:tc>
      </w:tr>
      <w:tr w:rsidR="00FA409F">
        <w:tc>
          <w:tcPr>
            <w:tcW w:w="11023" w:type="dxa"/>
            <w:gridSpan w:val="9"/>
            <w:shd w:val="clear" w:color="auto" w:fill="auto"/>
          </w:tcPr>
          <w:p w:rsidR="00FA409F" w:rsidRDefault="00265A49">
            <w:pPr>
              <w:shd w:val="clear" w:color="auto" w:fill="FFFFFF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Distributing the score out of 100 according to the tasks assigned to the student such as daily preparation, daily oral, monthly, or written exams, reports ....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etc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FA409F">
        <w:tc>
          <w:tcPr>
            <w:tcW w:w="11023" w:type="dxa"/>
            <w:gridSpan w:val="9"/>
            <w:shd w:val="clear" w:color="auto" w:fill="DEEAF6"/>
          </w:tcPr>
          <w:p w:rsidR="00FA409F" w:rsidRDefault="00265A49">
            <w:pPr>
              <w:numPr>
                <w:ilvl w:val="0"/>
                <w:numId w:val="2"/>
              </w:numPr>
              <w:ind w:left="513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Learning and Teaching Resources </w:t>
            </w:r>
          </w:p>
        </w:tc>
      </w:tr>
      <w:tr w:rsidR="00FA409F">
        <w:tc>
          <w:tcPr>
            <w:tcW w:w="5301" w:type="dxa"/>
            <w:gridSpan w:val="5"/>
            <w:shd w:val="clear" w:color="auto" w:fill="auto"/>
          </w:tcPr>
          <w:p w:rsidR="00FA409F" w:rsidRDefault="00265A49">
            <w:pPr>
              <w:ind w:right="-426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Required textbooks (curricular books, if any)</w:t>
            </w:r>
          </w:p>
        </w:tc>
        <w:tc>
          <w:tcPr>
            <w:tcW w:w="5722" w:type="dxa"/>
            <w:gridSpan w:val="4"/>
            <w:shd w:val="clear" w:color="auto" w:fill="auto"/>
          </w:tcPr>
          <w:p w:rsidR="00FA409F" w:rsidRDefault="0026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highlight w:val="white"/>
              </w:rPr>
            </w:pPr>
            <w:r>
              <w:rPr>
                <w:rFonts w:cs="Times New Roman"/>
                <w:color w:val="000000"/>
                <w:highlight w:val="white"/>
              </w:rPr>
              <w:t>Pharmaceutical calculation 3</w:t>
            </w:r>
            <w:r>
              <w:rPr>
                <w:rFonts w:cs="Times New Roman"/>
                <w:color w:val="000000"/>
                <w:highlight w:val="white"/>
                <w:vertAlign w:val="superscript"/>
              </w:rPr>
              <w:t>rd</w:t>
            </w:r>
            <w:r>
              <w:rPr>
                <w:rFonts w:cs="Times New Roman"/>
                <w:color w:val="000000"/>
                <w:highlight w:val="white"/>
              </w:rPr>
              <w:t xml:space="preserve"> edition by Ansel</w:t>
            </w: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FA409F">
        <w:tc>
          <w:tcPr>
            <w:tcW w:w="5301" w:type="dxa"/>
            <w:gridSpan w:val="5"/>
            <w:shd w:val="clear" w:color="auto" w:fill="auto"/>
          </w:tcPr>
          <w:p w:rsidR="00FA409F" w:rsidRDefault="00265A49">
            <w:pPr>
              <w:ind w:right="-426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Main references (sources)</w:t>
            </w:r>
          </w:p>
        </w:tc>
        <w:tc>
          <w:tcPr>
            <w:tcW w:w="5722" w:type="dxa"/>
            <w:gridSpan w:val="4"/>
            <w:shd w:val="clear" w:color="auto" w:fill="auto"/>
          </w:tcPr>
          <w:p w:rsidR="00FA409F" w:rsidRDefault="0026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highlight w:val="white"/>
              </w:rPr>
            </w:pPr>
            <w:r>
              <w:rPr>
                <w:rFonts w:cs="Times New Roman"/>
                <w:color w:val="000000"/>
                <w:highlight w:val="white"/>
              </w:rPr>
              <w:t>Pharmaceutical calculation 3</w:t>
            </w:r>
            <w:r>
              <w:rPr>
                <w:rFonts w:cs="Times New Roman"/>
                <w:color w:val="000000"/>
                <w:highlight w:val="white"/>
                <w:vertAlign w:val="superscript"/>
              </w:rPr>
              <w:t>rd</w:t>
            </w:r>
            <w:r>
              <w:rPr>
                <w:rFonts w:cs="Times New Roman"/>
                <w:color w:val="000000"/>
                <w:highlight w:val="white"/>
              </w:rPr>
              <w:t xml:space="preserve"> edition by Ansel</w:t>
            </w: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FA409F">
        <w:tc>
          <w:tcPr>
            <w:tcW w:w="5301" w:type="dxa"/>
            <w:gridSpan w:val="5"/>
            <w:shd w:val="clear" w:color="auto" w:fill="auto"/>
          </w:tcPr>
          <w:p w:rsidR="00FA409F" w:rsidRDefault="00265A49">
            <w:pPr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5722" w:type="dxa"/>
            <w:gridSpan w:val="4"/>
            <w:shd w:val="clear" w:color="auto" w:fill="auto"/>
          </w:tcPr>
          <w:p w:rsidR="00FA409F" w:rsidRDefault="00265A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Inter" w:eastAsia="Inter" w:hAnsi="Inter" w:cs="Inter"/>
                <w:i/>
                <w:color w:val="2B3545"/>
                <w:sz w:val="21"/>
                <w:szCs w:val="21"/>
                <w:highlight w:val="white"/>
              </w:rPr>
              <w:t xml:space="preserve">Pharmaceutical </w:t>
            </w:r>
            <w:proofErr w:type="gramStart"/>
            <w:r>
              <w:rPr>
                <w:rFonts w:ascii="Inter" w:eastAsia="Inter" w:hAnsi="Inter" w:cs="Inter"/>
                <w:i/>
                <w:color w:val="2B3545"/>
                <w:sz w:val="21"/>
                <w:szCs w:val="21"/>
                <w:highlight w:val="white"/>
              </w:rPr>
              <w:t>Calculations :</w:t>
            </w:r>
            <w:proofErr w:type="gramEnd"/>
            <w:r>
              <w:rPr>
                <w:rFonts w:ascii="Inter" w:eastAsia="Inter" w:hAnsi="Inter" w:cs="Inter"/>
                <w:i/>
                <w:color w:val="2B3545"/>
                <w:sz w:val="21"/>
                <w:szCs w:val="21"/>
                <w:highlight w:val="white"/>
              </w:rPr>
              <w:t xml:space="preserve"> A Conceptual Approach</w:t>
            </w:r>
            <w:r>
              <w:rPr>
                <w:rFonts w:ascii="Inter" w:eastAsia="Inter" w:hAnsi="Inter" w:cs="Inter"/>
                <w:color w:val="2B3545"/>
                <w:sz w:val="21"/>
                <w:szCs w:val="21"/>
                <w:highlight w:val="white"/>
              </w:rPr>
              <w:t>. 2019. Cham: Springer.</w:t>
            </w:r>
          </w:p>
          <w:p w:rsidR="00FA409F" w:rsidRDefault="00FA40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FA409F">
        <w:tc>
          <w:tcPr>
            <w:tcW w:w="5301" w:type="dxa"/>
            <w:gridSpan w:val="5"/>
            <w:shd w:val="clear" w:color="auto" w:fill="auto"/>
          </w:tcPr>
          <w:p w:rsidR="00FA409F" w:rsidRDefault="00265A49">
            <w:pPr>
              <w:ind w:right="-426"/>
              <w:jc w:val="both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/>
              </w:rPr>
              <w:t>Electronic References, Websites</w:t>
            </w:r>
          </w:p>
        </w:tc>
        <w:tc>
          <w:tcPr>
            <w:tcW w:w="5722" w:type="dxa"/>
            <w:gridSpan w:val="4"/>
            <w:shd w:val="clear" w:color="auto" w:fill="auto"/>
          </w:tcPr>
          <w:p w:rsidR="00FA409F" w:rsidRDefault="00255EF0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</w:rPr>
            </w:pPr>
            <w:hyperlink r:id="rId6">
              <w:r w:rsidR="00265A49">
                <w:rPr>
                  <w:rFonts w:ascii="Cambria" w:eastAsia="Cambria" w:hAnsi="Cambria" w:cs="Cambria"/>
                  <w:color w:val="0563C1"/>
                  <w:u w:val="single"/>
                </w:rPr>
                <w:t>https://www.nps.org.au/assets/e1522a550c298d28-18d3eafe5ce1-Extemporaneously-compounded-medicines_40-119.pdf</w:t>
              </w:r>
            </w:hyperlink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:rsidR="00FA409F" w:rsidRDefault="00255EF0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hyperlink r:id="rId7">
              <w:r w:rsidR="00265A49">
                <w:rPr>
                  <w:rFonts w:ascii="Cambria" w:eastAsia="Cambria" w:hAnsi="Cambria" w:cs="Cambria"/>
                  <w:color w:val="0563C1"/>
                  <w:sz w:val="18"/>
                  <w:szCs w:val="18"/>
                  <w:u w:val="single"/>
                </w:rPr>
                <w:t>http://repo.upertis.ac.id/1819/1/FASTtrack%20</w:t>
              </w:r>
            </w:hyperlink>
          </w:p>
          <w:p w:rsidR="00FA409F" w:rsidRDefault="00265A49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Pharmaceutical%20Compounding%20and%20Dispensing.pdf</w:t>
            </w:r>
          </w:p>
          <w:p w:rsidR="00FA409F" w:rsidRDefault="00FA409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:rsidR="00FA409F" w:rsidRDefault="00FA409F">
      <w:pPr>
        <w:shd w:val="clear" w:color="auto" w:fill="FFFFFF"/>
        <w:spacing w:before="240" w:after="200"/>
        <w:ind w:left="360" w:right="-426"/>
        <w:jc w:val="both"/>
        <w:rPr>
          <w:rFonts w:ascii="Arial" w:eastAsia="Arial" w:hAnsi="Arial" w:cs="Arial"/>
        </w:rPr>
      </w:pPr>
    </w:p>
    <w:p w:rsidR="00FA409F" w:rsidRDefault="00FA409F">
      <w:pPr>
        <w:shd w:val="clear" w:color="auto" w:fill="FFFFFF"/>
        <w:spacing w:before="240" w:after="200"/>
        <w:ind w:right="-426"/>
        <w:jc w:val="both"/>
        <w:rPr>
          <w:rFonts w:ascii="Arial" w:eastAsia="Arial" w:hAnsi="Arial" w:cs="Arial"/>
          <w:sz w:val="28"/>
          <w:szCs w:val="28"/>
        </w:rPr>
      </w:pPr>
    </w:p>
    <w:p w:rsidR="00FA409F" w:rsidRDefault="00FA409F"/>
    <w:sectPr w:rsidR="00FA409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20429"/>
    <w:multiLevelType w:val="multilevel"/>
    <w:tmpl w:val="72EE8BF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E3B3DFB"/>
    <w:multiLevelType w:val="multilevel"/>
    <w:tmpl w:val="00FC169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0722589"/>
    <w:multiLevelType w:val="multilevel"/>
    <w:tmpl w:val="4E4AEB7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9F"/>
    <w:rsid w:val="00255EF0"/>
    <w:rsid w:val="00265A49"/>
    <w:rsid w:val="00FA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7B5B31"/>
  <w15:docId w15:val="{7867C0A5-F270-40A1-88ED-4839F5EE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B89"/>
    <w:rPr>
      <w:rFonts w:cs="Traditional Arabic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22E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E7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F1E76"/>
    <w:rPr>
      <w:rFonts w:cs="Traditional Arabic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5A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epo.upertis.ac.id/1819/1/FASTtrack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ps.org.au/assets/e1522a550c298d28-18d3eafe5ce1-Extemporaneously-compounded-medicines_40-11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lk2ScAEngJnmUGos2DcN0pktEA==">CgMxLjAyCGguZ2pkZ3hzOAByITFoUjZ3cjlMemQyb0NvVXpjX2g4bkhjYmlBdF8wRWdLTw==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hp</cp:lastModifiedBy>
  <cp:revision>3</cp:revision>
  <cp:lastPrinted>2024-10-12T16:04:00Z</cp:lastPrinted>
  <dcterms:created xsi:type="dcterms:W3CDTF">2024-10-12T16:05:00Z</dcterms:created>
  <dcterms:modified xsi:type="dcterms:W3CDTF">2024-10-18T11:56:00Z</dcterms:modified>
</cp:coreProperties>
</file>