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89" w:rsidRPr="00D376B7" w:rsidRDefault="00733B89" w:rsidP="00733B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0" w:name="_GoBack"/>
      <w:bookmarkEnd w:id="0"/>
      <w:r w:rsidRPr="00D376B7">
        <w:rPr>
          <w:rFonts w:asciiTheme="majorBidi" w:hAnsiTheme="majorBidi" w:cstheme="majorBidi"/>
          <w:b/>
          <w:bCs/>
          <w:sz w:val="24"/>
          <w:szCs w:val="24"/>
        </w:rPr>
        <w:t>Course Description Form</w:t>
      </w:r>
    </w:p>
    <w:tbl>
      <w:tblPr>
        <w:tblW w:w="99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0"/>
        <w:gridCol w:w="318"/>
        <w:gridCol w:w="2204"/>
        <w:gridCol w:w="914"/>
        <w:gridCol w:w="1843"/>
        <w:gridCol w:w="1559"/>
        <w:gridCol w:w="1842"/>
      </w:tblGrid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Course Name: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733B89" w:rsidRPr="00D376B7" w:rsidRDefault="004B17EB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Hospital training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Course Code: 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733B89" w:rsidRPr="00D376B7" w:rsidRDefault="00D256F3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szCs w:val="24"/>
                <w:lang w:val="en-GB"/>
              </w:rPr>
              <w:t>568 CpHt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Semester / Year: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733B89" w:rsidRPr="00D376B7" w:rsidRDefault="004B17EB" w:rsidP="00E8393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E8393B" w:rsidRPr="00D376B7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Second semester/ Fifth 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Description Preparation Date: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733B89" w:rsidRPr="00D376B7" w:rsidRDefault="004B17EB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17/2/2024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Available Attendance Forms: 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733B89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On campus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Number of Credit Hours (Total) / Number of Units (Total)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733B89" w:rsidRPr="00D376B7" w:rsidRDefault="004B17EB" w:rsidP="00E8393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4 hours / 2 </w:t>
            </w:r>
            <w:r w:rsidR="00E8393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Units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administrator's name (mention all, if more than one name) 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366770" w:rsidRDefault="00366770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Name</w:t>
            </w:r>
            <w:r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</w:rPr>
              <w:t xml:space="preserve">: </w:t>
            </w:r>
            <w:proofErr w:type="spellStart"/>
            <w:r w:rsidRPr="0036677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Samer</w:t>
            </w:r>
            <w:proofErr w:type="spellEnd"/>
            <w:r w:rsidRPr="0036677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7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Imad</w:t>
            </w:r>
            <w:proofErr w:type="spellEnd"/>
            <w:r w:rsidRPr="0036677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Mohammed</w:t>
            </w:r>
          </w:p>
          <w:p w:rsidR="00366770" w:rsidRDefault="00366770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Email:</w:t>
            </w:r>
            <w:r>
              <w:t xml:space="preserve"> </w:t>
            </w:r>
            <w:r w:rsidRPr="0036677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samer.jameel@copharm.uobaghdad.edu.iq</w:t>
            </w:r>
          </w:p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Name: </w:t>
            </w:r>
            <w:r w:rsidR="004B17E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Assistant lecturer </w:t>
            </w:r>
            <w:proofErr w:type="spellStart"/>
            <w:r w:rsidR="004B17E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Abeer</w:t>
            </w:r>
            <w:proofErr w:type="spellEnd"/>
            <w:r w:rsidR="004B17E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17E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Kadhim</w:t>
            </w:r>
            <w:proofErr w:type="spellEnd"/>
          </w:p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Email: </w:t>
            </w:r>
            <w:r w:rsidR="004B17EB"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abeer.jomaa@copharm.uobaghdad.edu.iq</w:t>
            </w:r>
          </w:p>
          <w:p w:rsidR="00733B89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Name:</w:t>
            </w:r>
            <w:r w:rsidRPr="00D376B7">
              <w:rPr>
                <w:rFonts w:asciiTheme="majorBidi" w:eastAsia="Calibri" w:hAnsiTheme="majorBidi"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Thulfiqar Nidhal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Email: </w:t>
            </w:r>
            <w:r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thulfekarnkazam@copharm.uobaghdad.edu.iq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Name: </w:t>
            </w:r>
            <w:r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Nisreen Jumaa jabr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Email: </w:t>
            </w:r>
            <w:r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nesreen.jabr@copharm.uobaghdad.edu.iq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Name: </w:t>
            </w:r>
            <w:r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Angham Ahmed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Email: </w:t>
            </w:r>
            <w:hyperlink r:id="rId6" w:history="1">
              <w:r w:rsidRPr="00D376B7">
                <w:rPr>
                  <w:rFonts w:asciiTheme="majorBidi" w:eastAsia="Calibri" w:hAnsiTheme="majorBidi" w:cstheme="majorBidi"/>
                  <w:noProof/>
                  <w:sz w:val="24"/>
                  <w:szCs w:val="24"/>
                </w:rPr>
                <w:t>angham.ali@copharm.uobaghdad.edu.iq</w:t>
              </w:r>
            </w:hyperlink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Name:</w:t>
            </w:r>
            <w:r w:rsidR="00624B34"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 xml:space="preserve"> Ahmed hussein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Email:</w:t>
            </w:r>
            <w:r w:rsidR="00624B34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="00624B34"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Ahmed.hussein@copharm.uobaghdad.edu.iq</w:t>
            </w:r>
          </w:p>
          <w:p w:rsidR="004B17EB" w:rsidRPr="00D376B7" w:rsidRDefault="004B17E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Name:</w:t>
            </w:r>
            <w:r w:rsidR="00624B34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="00624B34" w:rsidRPr="00D376B7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t>Ahmed Majid</w:t>
            </w:r>
          </w:p>
          <w:p w:rsidR="004B17EB" w:rsidRDefault="004B17EB" w:rsidP="004B17E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Hyperlink"/>
                <w:rFonts w:asciiTheme="majorBidi" w:eastAsia="Calibri" w:hAnsiTheme="majorBidi" w:cstheme="majorBidi"/>
                <w:noProof/>
                <w:color w:val="auto"/>
                <w:sz w:val="24"/>
                <w:szCs w:val="24"/>
                <w:u w:val="none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Email:</w:t>
            </w:r>
            <w:r w:rsidR="00624B34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hyperlink r:id="rId7" w:history="1">
              <w:r w:rsidR="00624B34" w:rsidRPr="00D376B7">
                <w:rPr>
                  <w:rStyle w:val="Hyperlink"/>
                  <w:rFonts w:asciiTheme="majorBidi" w:eastAsia="Calibri" w:hAnsiTheme="majorBidi" w:cstheme="majorBidi"/>
                  <w:noProof/>
                  <w:color w:val="auto"/>
                  <w:sz w:val="24"/>
                  <w:szCs w:val="24"/>
                  <w:u w:val="none"/>
                </w:rPr>
                <w:t>ahmed.shehab@copharm.uobaghdad.edu.iq</w:t>
              </w:r>
            </w:hyperlink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</w:pPr>
            <w:r w:rsidRPr="004B0D42"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  <w:t>Name :</w:t>
            </w:r>
            <w:r w:rsidRPr="004B0D42">
              <w:rPr>
                <w:rStyle w:val="Hyperlink"/>
                <w:rFonts w:eastAsia="Calibri"/>
                <w:noProof/>
                <w:color w:val="auto"/>
                <w:sz w:val="24"/>
                <w:szCs w:val="24"/>
              </w:rPr>
              <w:t xml:space="preserve"> </w:t>
            </w:r>
            <w:r w:rsidRPr="004B0D42"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  <w:t>Sara Asaad Kadhim</w:t>
            </w:r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bidi/>
              <w:adjustRightInd w:val="0"/>
              <w:ind w:right="-426" w:firstLine="4477"/>
              <w:jc w:val="both"/>
              <w:rPr>
                <w:rStyle w:val="Hyperlink"/>
                <w:noProof/>
                <w:color w:val="auto"/>
                <w:u w:val="none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Email:</w:t>
            </w:r>
            <w:r>
              <w:t xml:space="preserve"> </w:t>
            </w:r>
            <w:hyperlink r:id="rId8" w:history="1">
              <w:r w:rsidRPr="004B0D42">
                <w:rPr>
                  <w:rStyle w:val="Hyperlink"/>
                  <w:noProof/>
                  <w:color w:val="auto"/>
                  <w:u w:val="none"/>
                </w:rPr>
                <w:t>Sarra.asaad1200m@copharm.uobaghdad.edu.iq</w:t>
              </w:r>
            </w:hyperlink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</w:pPr>
            <w:r w:rsidRPr="004B0D42"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  <w:t>Name :</w:t>
            </w:r>
            <w:r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  <w:t>Ruaa Nateq Yahya</w:t>
            </w:r>
          </w:p>
          <w:p w:rsidR="004B0D42" w:rsidRPr="004B0D42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right="-426" w:firstLine="729"/>
              <w:jc w:val="both"/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Email:</w:t>
            </w:r>
            <w:r w:rsidRPr="004B0D42">
              <w:t xml:space="preserve"> </w:t>
            </w:r>
            <w:hyperlink r:id="rId9" w:history="1">
              <w:r w:rsidRPr="004B0D42">
                <w:rPr>
                  <w:rStyle w:val="Hyperlink"/>
                  <w:rFonts w:asciiTheme="majorBidi" w:eastAsia="Calibri" w:hAnsiTheme="majorBidi" w:cstheme="majorBidi"/>
                  <w:color w:val="auto"/>
                  <w:sz w:val="24"/>
                  <w:szCs w:val="24"/>
                  <w:u w:val="none"/>
                  <w:lang w:bidi="ar-IQ"/>
                </w:rPr>
                <w:t>ruaa.yahia@copharm.uobaghdad.edu.iq</w:t>
              </w:r>
            </w:hyperlink>
          </w:p>
          <w:p w:rsidR="004B0D42" w:rsidRPr="004B0D42" w:rsidRDefault="004B0D42" w:rsidP="004B0D42">
            <w:pPr>
              <w:shd w:val="clear" w:color="auto" w:fill="FFFFFF"/>
              <w:autoSpaceDE w:val="0"/>
              <w:autoSpaceDN w:val="0"/>
              <w:bidi/>
              <w:adjustRightInd w:val="0"/>
              <w:ind w:left="1597" w:right="-426" w:firstLine="6750"/>
              <w:jc w:val="both"/>
              <w:rPr>
                <w:rStyle w:val="Hyperlink"/>
                <w:noProof/>
                <w:color w:val="auto"/>
                <w:u w:val="none"/>
              </w:rPr>
            </w:pPr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</w:pPr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bidi/>
              <w:adjustRightInd w:val="0"/>
              <w:ind w:right="-426" w:firstLine="4477"/>
              <w:jc w:val="both"/>
              <w:rPr>
                <w:rStyle w:val="Hyperlink"/>
                <w:noProof/>
                <w:color w:val="auto"/>
                <w:u w:val="none"/>
              </w:rPr>
            </w:pPr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bidi/>
              <w:adjustRightInd w:val="0"/>
              <w:ind w:right="-426" w:firstLine="4477"/>
              <w:jc w:val="both"/>
              <w:rPr>
                <w:rStyle w:val="Hyperlink"/>
                <w:noProof/>
                <w:color w:val="auto"/>
                <w:u w:val="none"/>
              </w:rPr>
            </w:pPr>
          </w:p>
          <w:p w:rsidR="004B0D42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Hyperlink"/>
                <w:rFonts w:asciiTheme="majorBidi" w:eastAsia="Calibri" w:hAnsiTheme="majorBidi" w:cstheme="majorBidi"/>
                <w:noProof/>
                <w:color w:val="auto"/>
                <w:sz w:val="24"/>
                <w:szCs w:val="24"/>
                <w:u w:val="none"/>
              </w:rPr>
            </w:pPr>
          </w:p>
          <w:p w:rsidR="004B0D42" w:rsidRPr="004B0D42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Hyperlink"/>
                <w:rFonts w:eastAsia="Calibri"/>
                <w:noProof/>
                <w:color w:val="auto"/>
                <w:sz w:val="24"/>
                <w:szCs w:val="24"/>
                <w:u w:val="none"/>
              </w:rPr>
            </w:pPr>
          </w:p>
          <w:p w:rsidR="004B0D42" w:rsidRPr="00D376B7" w:rsidRDefault="004B0D42" w:rsidP="004B0D42">
            <w:pPr>
              <w:shd w:val="clear" w:color="auto" w:fill="FFFFFF"/>
              <w:autoSpaceDE w:val="0"/>
              <w:autoSpaceDN w:val="0"/>
              <w:adjustRightInd w:val="0"/>
              <w:ind w:left="720" w:right="-426" w:hanging="621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Objectives </w:t>
            </w:r>
          </w:p>
        </w:tc>
      </w:tr>
      <w:tr w:rsidR="003603AB" w:rsidRPr="00D376B7" w:rsidTr="00932C78">
        <w:tc>
          <w:tcPr>
            <w:tcW w:w="3764" w:type="dxa"/>
            <w:gridSpan w:val="4"/>
            <w:shd w:val="clear" w:color="auto" w:fill="auto"/>
          </w:tcPr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  <w:tc>
          <w:tcPr>
            <w:tcW w:w="6158" w:type="dxa"/>
            <w:gridSpan w:val="4"/>
            <w:shd w:val="clear" w:color="auto" w:fill="auto"/>
          </w:tcPr>
          <w:p w:rsidR="00733B89" w:rsidRPr="00D376B7" w:rsidRDefault="00624B34" w:rsidP="00624B34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To teach students the application of pharmacy practice in different hospital wards; it includes</w:t>
            </w:r>
          </w:p>
          <w:p w:rsidR="00733B89" w:rsidRPr="00D376B7" w:rsidRDefault="00624B34" w:rsidP="00624B34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Training on case evaluation and follow up</w:t>
            </w:r>
          </w:p>
          <w:p w:rsidR="00733B89" w:rsidRPr="00D376B7" w:rsidRDefault="00624B34" w:rsidP="00624B34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Evaluation of  therapeutic regimens and registration of errors related to drug therapy and presenting  ideas to solve problems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Teaching and Learning Strategies </w:t>
            </w:r>
          </w:p>
        </w:tc>
      </w:tr>
      <w:tr w:rsidR="00733B89" w:rsidRPr="00D376B7" w:rsidTr="00932C78">
        <w:tc>
          <w:tcPr>
            <w:tcW w:w="1242" w:type="dxa"/>
            <w:gridSpan w:val="2"/>
            <w:shd w:val="clear" w:color="auto" w:fill="auto"/>
          </w:tcPr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Strategy</w:t>
            </w:r>
          </w:p>
        </w:tc>
        <w:tc>
          <w:tcPr>
            <w:tcW w:w="8680" w:type="dxa"/>
            <w:gridSpan w:val="6"/>
            <w:shd w:val="clear" w:color="auto" w:fill="auto"/>
          </w:tcPr>
          <w:p w:rsidR="00733B89" w:rsidRPr="00D376B7" w:rsidRDefault="00624B34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Explaining cases of patients in different hospital wards</w:t>
            </w:r>
          </w:p>
          <w:p w:rsidR="00624B34" w:rsidRPr="00D376B7" w:rsidRDefault="00624B34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Discussion</w:t>
            </w:r>
            <w:r w:rsidR="003603A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="003603A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with board students in hospital</w:t>
            </w:r>
          </w:p>
          <w:p w:rsidR="00733B89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Brainstorming questions</w:t>
            </w:r>
          </w:p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ind w:left="513" w:hanging="513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Course Structure</w:t>
            </w:r>
          </w:p>
        </w:tc>
      </w:tr>
      <w:tr w:rsidR="001F2892" w:rsidRPr="00D376B7" w:rsidTr="00E8393B">
        <w:trPr>
          <w:trHeight w:val="182"/>
        </w:trPr>
        <w:tc>
          <w:tcPr>
            <w:tcW w:w="682" w:type="dxa"/>
            <w:shd w:val="clear" w:color="auto" w:fill="BDD6EE"/>
          </w:tcPr>
          <w:p w:rsidR="00733B89" w:rsidRPr="00D376B7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878" w:type="dxa"/>
            <w:gridSpan w:val="2"/>
            <w:shd w:val="clear" w:color="auto" w:fill="BDD6EE"/>
          </w:tcPr>
          <w:p w:rsidR="00733B89" w:rsidRPr="00D376B7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118" w:type="dxa"/>
            <w:gridSpan w:val="2"/>
            <w:shd w:val="clear" w:color="auto" w:fill="BDD6EE"/>
          </w:tcPr>
          <w:p w:rsidR="00733B89" w:rsidRPr="00D376B7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843" w:type="dxa"/>
            <w:shd w:val="clear" w:color="auto" w:fill="BDD6EE"/>
          </w:tcPr>
          <w:p w:rsidR="00733B89" w:rsidRPr="00D376B7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59" w:type="dxa"/>
            <w:shd w:val="clear" w:color="auto" w:fill="BDD6EE"/>
          </w:tcPr>
          <w:p w:rsidR="00733B89" w:rsidRPr="00D376B7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842" w:type="dxa"/>
            <w:shd w:val="clear" w:color="auto" w:fill="BDD6EE"/>
          </w:tcPr>
          <w:p w:rsidR="00733B89" w:rsidRPr="00D376B7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1F2892" w:rsidRPr="00D376B7" w:rsidTr="00E8393B">
        <w:trPr>
          <w:trHeight w:val="181"/>
        </w:trPr>
        <w:tc>
          <w:tcPr>
            <w:tcW w:w="682" w:type="dxa"/>
            <w:shd w:val="clear" w:color="auto" w:fill="auto"/>
          </w:tcPr>
          <w:p w:rsidR="00733B89" w:rsidRPr="00D376B7" w:rsidRDefault="003603AB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1-4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733B89" w:rsidRPr="00D376B7" w:rsidRDefault="003603AB" w:rsidP="009061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  <w:p w:rsidR="00733B89" w:rsidRPr="00D376B7" w:rsidRDefault="00E8393B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To provide</w:t>
            </w:r>
            <w:r w:rsidR="003603AB"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 the students the essential clinical pharmacy skills with emphasis on dealing with patients, medical charts, laboratory information, and clinical monitoring. The following topics will be covered: (Cardiology, Nephrology, Gastroenterology, Pulmonology, and Endocrinology)</w:t>
            </w:r>
          </w:p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Internal medicine</w:t>
            </w:r>
          </w:p>
        </w:tc>
        <w:tc>
          <w:tcPr>
            <w:tcW w:w="1559" w:type="dxa"/>
            <w:shd w:val="clear" w:color="auto" w:fill="auto"/>
          </w:tcPr>
          <w:p w:rsidR="00733B89" w:rsidRPr="00D376B7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Explanation of patients cases and </w:t>
            </w:r>
            <w:r w:rsidRPr="00D376B7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with Board students</w:t>
            </w: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2" w:type="dxa"/>
            <w:shd w:val="clear" w:color="auto" w:fill="auto"/>
          </w:tcPr>
          <w:p w:rsidR="003603AB" w:rsidRPr="00D376B7" w:rsidRDefault="003603AB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3603AB" w:rsidRPr="00D376B7" w:rsidRDefault="003603AB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Quizzes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and case presentation</w:t>
            </w:r>
          </w:p>
        </w:tc>
      </w:tr>
      <w:tr w:rsidR="003603AB" w:rsidRPr="00D376B7" w:rsidTr="00E8393B">
        <w:trPr>
          <w:trHeight w:val="181"/>
        </w:trPr>
        <w:tc>
          <w:tcPr>
            <w:tcW w:w="682" w:type="dxa"/>
            <w:shd w:val="clear" w:color="auto" w:fill="auto"/>
          </w:tcPr>
          <w:p w:rsidR="003603AB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5-8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603AB" w:rsidRPr="00D376B7" w:rsidRDefault="001F2892" w:rsidP="009061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603AB" w:rsidRPr="00D376B7" w:rsidRDefault="00E8393B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To provide</w:t>
            </w:r>
            <w:r w:rsidR="001F2892"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 the students the essential clinical pharmacy skills with emphasis on dealing with patients, medical charts, laboratory information, and clinical monitoring. The following topics will be covered: Pediatric Neonatology,  Pediatric Nephrology, Pediatric Infections, Pediatric Neurology, Pediatric Cardiology, Pediatric Gastroenterology, Pediatric Respiratory Disorders, and pediatric endocrinology</w:t>
            </w:r>
          </w:p>
        </w:tc>
        <w:tc>
          <w:tcPr>
            <w:tcW w:w="1843" w:type="dxa"/>
            <w:shd w:val="clear" w:color="auto" w:fill="auto"/>
          </w:tcPr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pediatrics</w:t>
            </w:r>
          </w:p>
        </w:tc>
        <w:tc>
          <w:tcPr>
            <w:tcW w:w="1559" w:type="dxa"/>
            <w:shd w:val="clear" w:color="auto" w:fill="auto"/>
          </w:tcPr>
          <w:p w:rsidR="003603AB" w:rsidRPr="00D376B7" w:rsidRDefault="003603AB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Explanation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of patients cases and discussion with Board students</w:t>
            </w: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2" w:type="dxa"/>
            <w:shd w:val="clear" w:color="auto" w:fill="auto"/>
          </w:tcPr>
          <w:p w:rsidR="003603AB" w:rsidRPr="00D376B7" w:rsidRDefault="003603AB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Quizzes and case presentation</w:t>
            </w:r>
          </w:p>
        </w:tc>
      </w:tr>
      <w:tr w:rsidR="001F2892" w:rsidRPr="00D376B7" w:rsidTr="00E8393B">
        <w:trPr>
          <w:trHeight w:val="181"/>
        </w:trPr>
        <w:tc>
          <w:tcPr>
            <w:tcW w:w="682" w:type="dxa"/>
            <w:shd w:val="clear" w:color="auto" w:fill="auto"/>
          </w:tcPr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9-12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1F2892" w:rsidRPr="00D376B7" w:rsidRDefault="001F2892" w:rsidP="009061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F2892" w:rsidRPr="00D376B7" w:rsidRDefault="00E8393B" w:rsidP="001F289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To provide</w:t>
            </w:r>
            <w:r w:rsidR="001F2892"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 the students the essential clinical pharmacy skills with emphasis on dealing with patients, medical charts, laboratory information, and clinical monitoring. The following topics will be covered:</w:t>
            </w:r>
          </w:p>
          <w:p w:rsidR="001F2892" w:rsidRPr="00D376B7" w:rsidRDefault="001F2892" w:rsidP="00E8393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Surgical Prophylaxis, Types </w:t>
            </w:r>
            <w:r w:rsidRPr="00D376B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of Surgical Operations, </w:t>
            </w:r>
            <w:r w:rsidR="00932C78"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Preoperative </w:t>
            </w:r>
            <w:r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bowel preparation, Intravenous fluid therapy, Blood transfusion and blood products, </w:t>
            </w:r>
            <w:proofErr w:type="spellStart"/>
            <w:r w:rsidRPr="00D376B7">
              <w:rPr>
                <w:rFonts w:asciiTheme="majorBidi" w:hAnsiTheme="majorBidi" w:cstheme="majorBidi"/>
                <w:sz w:val="24"/>
                <w:szCs w:val="24"/>
              </w:rPr>
              <w:t>Peri</w:t>
            </w:r>
            <w:proofErr w:type="spellEnd"/>
            <w:r w:rsidRPr="00D376B7">
              <w:rPr>
                <w:rFonts w:asciiTheme="majorBidi" w:hAnsiTheme="majorBidi" w:cstheme="majorBidi"/>
                <w:sz w:val="24"/>
                <w:szCs w:val="24"/>
              </w:rPr>
              <w:t>-operative care and diabetes, Perioperative medication management, Acute appendicitis, Gallstones, Common bile duct stones, Thyroidectomy, Bowel Obstruction, Pancreatitis, Hernia, Guidelines on Parenteral Nutrition in Surgery.</w:t>
            </w:r>
          </w:p>
        </w:tc>
        <w:tc>
          <w:tcPr>
            <w:tcW w:w="1843" w:type="dxa"/>
            <w:shd w:val="clear" w:color="auto" w:fill="auto"/>
          </w:tcPr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surgery</w:t>
            </w:r>
          </w:p>
        </w:tc>
        <w:tc>
          <w:tcPr>
            <w:tcW w:w="1559" w:type="dxa"/>
            <w:shd w:val="clear" w:color="auto" w:fill="auto"/>
          </w:tcPr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Explanation of patients cases and </w:t>
            </w:r>
            <w:r w:rsidRPr="00D376B7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with Board students</w:t>
            </w: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2" w:type="dxa"/>
            <w:shd w:val="clear" w:color="auto" w:fill="auto"/>
          </w:tcPr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Quizzes and case </w:t>
            </w:r>
            <w:r w:rsidRPr="00D376B7"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</w:p>
        </w:tc>
      </w:tr>
      <w:tr w:rsidR="001F2892" w:rsidRPr="00D376B7" w:rsidTr="00E8393B">
        <w:trPr>
          <w:trHeight w:val="181"/>
        </w:trPr>
        <w:tc>
          <w:tcPr>
            <w:tcW w:w="682" w:type="dxa"/>
            <w:shd w:val="clear" w:color="auto" w:fill="auto"/>
          </w:tcPr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13-16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1F2892" w:rsidRPr="00D376B7" w:rsidRDefault="001F2892" w:rsidP="009061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F2892" w:rsidRPr="00D376B7" w:rsidRDefault="00E8393B" w:rsidP="00E8393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To provide</w:t>
            </w:r>
            <w:r w:rsidR="001F2892"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 the students the essential clinical pharmacy skills with emphasis on dealing with patients, medical charts, laboratory information, and clinical monitoring. The following topics will be covered: Abortion, Common Complications Of Pregnancy, Induction and Augmentation of labour, Obstetric hemorrhage, Caesarean section, Ectopic Pregnancy, Heavy and irregular Menstruation, Polycystic Ovarian </w:t>
            </w:r>
            <w:r w:rsidR="00932C78" w:rsidRPr="00D376B7">
              <w:rPr>
                <w:rFonts w:asciiTheme="majorBidi" w:hAnsiTheme="majorBidi" w:cstheme="majorBidi"/>
                <w:sz w:val="24"/>
                <w:szCs w:val="24"/>
              </w:rPr>
              <w:t xml:space="preserve">Syndrome, Molar Pregnancy, some drugs that are used in obstetrics </w:t>
            </w:r>
            <w:r w:rsidR="001F2892" w:rsidRPr="00D376B7">
              <w:rPr>
                <w:rFonts w:asciiTheme="majorBidi" w:hAnsiTheme="majorBidi" w:cstheme="majorBidi"/>
                <w:sz w:val="24"/>
                <w:szCs w:val="24"/>
              </w:rPr>
              <w:t>and gynecology</w:t>
            </w:r>
          </w:p>
        </w:tc>
        <w:tc>
          <w:tcPr>
            <w:tcW w:w="1843" w:type="dxa"/>
            <w:shd w:val="clear" w:color="auto" w:fill="auto"/>
          </w:tcPr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Obstetrics and gynecology</w:t>
            </w:r>
          </w:p>
        </w:tc>
        <w:tc>
          <w:tcPr>
            <w:tcW w:w="1559" w:type="dxa"/>
            <w:shd w:val="clear" w:color="auto" w:fill="auto"/>
          </w:tcPr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Explanation of patients cases </w:t>
            </w:r>
            <w:r w:rsidRPr="00D376B7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discussion with Board students</w:t>
            </w:r>
          </w:p>
          <w:p w:rsidR="001F2892" w:rsidRPr="00D376B7" w:rsidRDefault="001F2892" w:rsidP="001F28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2" w:type="dxa"/>
            <w:shd w:val="clear" w:color="auto" w:fill="auto"/>
          </w:tcPr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3603A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1F2892" w:rsidRPr="00D376B7" w:rsidRDefault="001F2892" w:rsidP="00E8393B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Quizzes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and case presentation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Course Evaluation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auto"/>
          </w:tcPr>
          <w:p w:rsidR="00291594" w:rsidRPr="00D376B7" w:rsidRDefault="008D4151" w:rsidP="00E839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34 quizzes, 6 case presentation, 60 final exam</w:t>
            </w:r>
            <w:r w:rsidR="00E8393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733B89" w:rsidRPr="00D376B7" w:rsidTr="00932C78">
        <w:tc>
          <w:tcPr>
            <w:tcW w:w="9922" w:type="dxa"/>
            <w:gridSpan w:val="8"/>
            <w:shd w:val="clear" w:color="auto" w:fill="DEEAF6"/>
          </w:tcPr>
          <w:p w:rsidR="00733B89" w:rsidRPr="00D376B7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Learning and Teaching Resources </w:t>
            </w:r>
          </w:p>
        </w:tc>
      </w:tr>
      <w:tr w:rsidR="003603AB" w:rsidRPr="00D376B7" w:rsidTr="00E8393B">
        <w:tc>
          <w:tcPr>
            <w:tcW w:w="4678" w:type="dxa"/>
            <w:gridSpan w:val="5"/>
            <w:shd w:val="clear" w:color="auto" w:fill="auto"/>
          </w:tcPr>
          <w:p w:rsidR="00733B89" w:rsidRPr="00D376B7" w:rsidRDefault="00733B89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733B89" w:rsidRPr="00D376B7" w:rsidRDefault="00291594" w:rsidP="00E8393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Manuals for Clinical Training Adopted by the</w:t>
            </w:r>
          </w:p>
        </w:tc>
      </w:tr>
      <w:tr w:rsidR="003603AB" w:rsidRPr="00D376B7" w:rsidTr="00E8393B">
        <w:tc>
          <w:tcPr>
            <w:tcW w:w="4678" w:type="dxa"/>
            <w:gridSpan w:val="5"/>
            <w:shd w:val="clear" w:color="auto" w:fill="auto"/>
          </w:tcPr>
          <w:p w:rsidR="00733B89" w:rsidRPr="00D376B7" w:rsidRDefault="00733B89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Main references (sources)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733B89" w:rsidRPr="00D376B7" w:rsidRDefault="00291594" w:rsidP="00E8393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Manuals for Clinical Training Adopted by the Department</w:t>
            </w:r>
          </w:p>
        </w:tc>
      </w:tr>
      <w:tr w:rsidR="003603AB" w:rsidRPr="00D376B7" w:rsidTr="00E8393B">
        <w:tc>
          <w:tcPr>
            <w:tcW w:w="4678" w:type="dxa"/>
            <w:gridSpan w:val="5"/>
            <w:shd w:val="clear" w:color="auto" w:fill="auto"/>
          </w:tcPr>
          <w:p w:rsidR="00733B89" w:rsidRPr="00D376B7" w:rsidRDefault="00733B89" w:rsidP="0045701C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733B89" w:rsidRPr="00D376B7" w:rsidRDefault="00291594" w:rsidP="0029159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hAnsiTheme="majorBidi" w:cstheme="majorBidi"/>
                <w:sz w:val="24"/>
                <w:szCs w:val="24"/>
              </w:rPr>
              <w:t>Pharmacy times (journal) Us pharmacist (journal)</w:t>
            </w:r>
          </w:p>
        </w:tc>
      </w:tr>
      <w:tr w:rsidR="003603AB" w:rsidRPr="00D376B7" w:rsidTr="00E8393B">
        <w:tc>
          <w:tcPr>
            <w:tcW w:w="4678" w:type="dxa"/>
            <w:gridSpan w:val="5"/>
            <w:shd w:val="clear" w:color="auto" w:fill="auto"/>
          </w:tcPr>
          <w:p w:rsidR="00733B89" w:rsidRPr="00D376B7" w:rsidRDefault="00733B89" w:rsidP="0045701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sz w:val="24"/>
                <w:szCs w:val="24"/>
              </w:rPr>
              <w:t>Electronic References, Websites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291594" w:rsidRPr="00D376B7" w:rsidRDefault="00291594" w:rsidP="00E8393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Uptodate resource</w:t>
            </w:r>
            <w:r w:rsidR="00E8393B"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, </w:t>
            </w:r>
            <w:r w:rsidRPr="00D376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Medscape </w:t>
            </w:r>
          </w:p>
        </w:tc>
      </w:tr>
    </w:tbl>
    <w:p w:rsidR="00733B89" w:rsidRPr="00D376B7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733B89" w:rsidRPr="00D376B7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AB3A8E" w:rsidRPr="00D376B7" w:rsidRDefault="00AB3A8E" w:rsidP="00733B89">
      <w:pPr>
        <w:rPr>
          <w:rFonts w:asciiTheme="majorBidi" w:hAnsiTheme="majorBidi" w:cstheme="majorBidi"/>
          <w:sz w:val="24"/>
          <w:szCs w:val="24"/>
        </w:rPr>
      </w:pPr>
    </w:p>
    <w:sectPr w:rsidR="00AB3A8E" w:rsidRPr="00D3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E"/>
    <w:rsid w:val="00023D69"/>
    <w:rsid w:val="00090E98"/>
    <w:rsid w:val="001F2892"/>
    <w:rsid w:val="00291594"/>
    <w:rsid w:val="003603AB"/>
    <w:rsid w:val="00366770"/>
    <w:rsid w:val="003840D8"/>
    <w:rsid w:val="004B0D42"/>
    <w:rsid w:val="004B17EB"/>
    <w:rsid w:val="00624B34"/>
    <w:rsid w:val="00733B89"/>
    <w:rsid w:val="008D4151"/>
    <w:rsid w:val="00906108"/>
    <w:rsid w:val="00932C78"/>
    <w:rsid w:val="00AB3A8E"/>
    <w:rsid w:val="00B0257C"/>
    <w:rsid w:val="00CC06FB"/>
    <w:rsid w:val="00D256F3"/>
    <w:rsid w:val="00D376B7"/>
    <w:rsid w:val="00DD42A3"/>
    <w:rsid w:val="00E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4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4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ra.asaad1200m@copharm.uobaghdad.edu.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hmed.shehab@copharm.uobaghdad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ham.ali@copharm.uobaghdad.edu.i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aa.yahia@copharm.uobaghdad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Maher</cp:lastModifiedBy>
  <cp:revision>2</cp:revision>
  <dcterms:created xsi:type="dcterms:W3CDTF">2024-10-14T09:12:00Z</dcterms:created>
  <dcterms:modified xsi:type="dcterms:W3CDTF">2024-10-14T09:12:00Z</dcterms:modified>
</cp:coreProperties>
</file>